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84D3B" w14:textId="5F4C2622" w:rsidR="002D605E" w:rsidRPr="00686622" w:rsidRDefault="003867F9" w:rsidP="00686622">
      <w:pPr>
        <w:pStyle w:val="Heading1"/>
        <w:spacing w:before="0" w:after="0" w:line="276" w:lineRule="auto"/>
        <w:jc w:val="center"/>
        <w:rPr>
          <w:sz w:val="28"/>
          <w:szCs w:val="28"/>
        </w:rPr>
      </w:pPr>
      <w:r>
        <w:rPr>
          <w:rFonts w:asciiTheme="minorHAnsi" w:hAnsiTheme="minorHAnsi"/>
          <w:sz w:val="28"/>
          <w:szCs w:val="28"/>
        </w:rPr>
        <w:t xml:space="preserve">Position Paper </w:t>
      </w:r>
      <w:r w:rsidR="002D605E" w:rsidRPr="00C86383">
        <w:rPr>
          <w:rFonts w:asciiTheme="minorHAnsi" w:hAnsiTheme="minorHAnsi"/>
          <w:sz w:val="28"/>
          <w:szCs w:val="28"/>
        </w:rPr>
        <w:t xml:space="preserve">on </w:t>
      </w:r>
      <w:r w:rsidR="00155E42" w:rsidRPr="00C86383">
        <w:rPr>
          <w:rFonts w:asciiTheme="minorHAnsi" w:hAnsiTheme="minorHAnsi"/>
          <w:sz w:val="28"/>
          <w:szCs w:val="28"/>
        </w:rPr>
        <w:t>the Children’s Am</w:t>
      </w:r>
      <w:r w:rsidR="002D605E" w:rsidRPr="00C86383">
        <w:rPr>
          <w:rFonts w:asciiTheme="minorHAnsi" w:hAnsiTheme="minorHAnsi"/>
          <w:sz w:val="28"/>
          <w:szCs w:val="28"/>
        </w:rPr>
        <w:t>endment Bill</w:t>
      </w:r>
      <w:r w:rsidR="002B68F5" w:rsidRPr="00C86383">
        <w:rPr>
          <w:rFonts w:asciiTheme="minorHAnsi" w:hAnsiTheme="minorHAnsi"/>
          <w:sz w:val="28"/>
          <w:szCs w:val="28"/>
        </w:rPr>
        <w:t xml:space="preserve"> (gazetted 29 </w:t>
      </w:r>
      <w:r w:rsidR="002B68F5" w:rsidRPr="00686622">
        <w:rPr>
          <w:sz w:val="28"/>
          <w:szCs w:val="28"/>
        </w:rPr>
        <w:t>October 2018)</w:t>
      </w:r>
    </w:p>
    <w:p w14:paraId="71D7C1CC" w14:textId="50C3B423" w:rsidR="00884B1B" w:rsidRPr="00E21CED" w:rsidRDefault="00BC2CF4" w:rsidP="00686622">
      <w:pPr>
        <w:pStyle w:val="Heading1"/>
        <w:spacing w:before="0" w:after="0" w:line="276" w:lineRule="auto"/>
        <w:jc w:val="center"/>
        <w:rPr>
          <w:b/>
          <w:sz w:val="28"/>
          <w:szCs w:val="28"/>
        </w:rPr>
      </w:pPr>
      <w:r w:rsidRPr="00E21CED">
        <w:rPr>
          <w:b/>
          <w:sz w:val="28"/>
          <w:szCs w:val="28"/>
        </w:rPr>
        <w:t>Children’s Court</w:t>
      </w:r>
      <w:r w:rsidR="00C86383" w:rsidRPr="00E21CED">
        <w:rPr>
          <w:b/>
          <w:sz w:val="28"/>
          <w:szCs w:val="28"/>
        </w:rPr>
        <w:t xml:space="preserve"> (G</w:t>
      </w:r>
      <w:r w:rsidR="00686622" w:rsidRPr="00E21CED">
        <w:rPr>
          <w:b/>
          <w:sz w:val="28"/>
          <w:szCs w:val="28"/>
        </w:rPr>
        <w:t>u</w:t>
      </w:r>
      <w:r w:rsidR="00C86383" w:rsidRPr="00E21CED">
        <w:rPr>
          <w:b/>
          <w:sz w:val="28"/>
          <w:szCs w:val="28"/>
        </w:rPr>
        <w:t>a</w:t>
      </w:r>
      <w:r w:rsidR="00686622" w:rsidRPr="00E21CED">
        <w:rPr>
          <w:b/>
          <w:sz w:val="28"/>
          <w:szCs w:val="28"/>
        </w:rPr>
        <w:t>rdianship</w:t>
      </w:r>
      <w:r w:rsidR="00F20D7D" w:rsidRPr="00E21CED">
        <w:rPr>
          <w:b/>
          <w:sz w:val="28"/>
          <w:szCs w:val="28"/>
        </w:rPr>
        <w:t xml:space="preserve"> </w:t>
      </w:r>
      <w:r w:rsidR="000F6761" w:rsidRPr="00E21CED">
        <w:rPr>
          <w:b/>
          <w:sz w:val="28"/>
          <w:szCs w:val="28"/>
        </w:rPr>
        <w:t xml:space="preserve">applications </w:t>
      </w:r>
      <w:r w:rsidR="00F20D7D" w:rsidRPr="00E21CED">
        <w:rPr>
          <w:b/>
          <w:sz w:val="28"/>
          <w:szCs w:val="28"/>
        </w:rPr>
        <w:t>and privacy in court proceedings)</w:t>
      </w:r>
    </w:p>
    <w:p w14:paraId="084ECF27" w14:textId="77777777" w:rsidR="00E21CED" w:rsidRDefault="00E21CED" w:rsidP="00C86383">
      <w:pPr>
        <w:spacing w:before="120" w:after="120" w:line="360" w:lineRule="auto"/>
        <w:jc w:val="center"/>
        <w:rPr>
          <w:sz w:val="24"/>
          <w:szCs w:val="24"/>
        </w:rPr>
      </w:pPr>
    </w:p>
    <w:p w14:paraId="1B76CD81" w14:textId="5E96E067" w:rsidR="00B44AE6" w:rsidRPr="00C86383" w:rsidRDefault="00B60E25" w:rsidP="00C86383">
      <w:pPr>
        <w:spacing w:before="120" w:after="120" w:line="360" w:lineRule="auto"/>
        <w:jc w:val="center"/>
        <w:rPr>
          <w:sz w:val="24"/>
          <w:szCs w:val="24"/>
        </w:rPr>
      </w:pPr>
      <w:r w:rsidRPr="00C86383">
        <w:rPr>
          <w:sz w:val="24"/>
          <w:szCs w:val="24"/>
        </w:rPr>
        <w:t xml:space="preserve">Written by </w:t>
      </w:r>
      <w:r w:rsidR="009A5016" w:rsidRPr="00C86383">
        <w:rPr>
          <w:sz w:val="24"/>
          <w:szCs w:val="24"/>
        </w:rPr>
        <w:t>Ann Skelton</w:t>
      </w:r>
      <w:r w:rsidR="00FD5620" w:rsidRPr="00C86383">
        <w:rPr>
          <w:sz w:val="24"/>
          <w:szCs w:val="24"/>
        </w:rPr>
        <w:t xml:space="preserve"> (C</w:t>
      </w:r>
      <w:r w:rsidR="009A5016" w:rsidRPr="00C86383">
        <w:rPr>
          <w:sz w:val="24"/>
          <w:szCs w:val="24"/>
        </w:rPr>
        <w:t>en</w:t>
      </w:r>
      <w:r w:rsidR="00C80908" w:rsidRPr="00C86383">
        <w:rPr>
          <w:sz w:val="24"/>
          <w:szCs w:val="24"/>
        </w:rPr>
        <w:t>t</w:t>
      </w:r>
      <w:r w:rsidR="009A5016" w:rsidRPr="00C86383">
        <w:rPr>
          <w:sz w:val="24"/>
          <w:szCs w:val="24"/>
        </w:rPr>
        <w:t>re for Child Law</w:t>
      </w:r>
      <w:r w:rsidR="00FD5620" w:rsidRPr="00C86383">
        <w:rPr>
          <w:sz w:val="24"/>
          <w:szCs w:val="24"/>
        </w:rPr>
        <w:t>)</w:t>
      </w:r>
    </w:p>
    <w:p w14:paraId="6158D698" w14:textId="77777777" w:rsidR="00DE1D6A" w:rsidRPr="00C86383" w:rsidRDefault="00DE1D6A" w:rsidP="00C86383">
      <w:pPr>
        <w:pStyle w:val="Heading2"/>
        <w:spacing w:line="360" w:lineRule="auto"/>
        <w:jc w:val="center"/>
        <w:rPr>
          <w:rFonts w:asciiTheme="minorHAnsi" w:hAnsiTheme="minorHAnsi"/>
          <w:sz w:val="24"/>
          <w:szCs w:val="24"/>
        </w:rPr>
      </w:pPr>
    </w:p>
    <w:p w14:paraId="6F6836D6" w14:textId="7EE28E02" w:rsidR="00DE1D6A" w:rsidRPr="00C86383" w:rsidRDefault="00DE1D6A" w:rsidP="00C86383">
      <w:pPr>
        <w:spacing w:line="360" w:lineRule="auto"/>
        <w:jc w:val="center"/>
        <w:rPr>
          <w:sz w:val="24"/>
          <w:szCs w:val="24"/>
        </w:rPr>
      </w:pPr>
      <w:r w:rsidRPr="00C86383">
        <w:rPr>
          <w:sz w:val="24"/>
          <w:szCs w:val="24"/>
        </w:rPr>
        <w:t xml:space="preserve">Endorsed by Children’s Institute, UCT </w:t>
      </w:r>
    </w:p>
    <w:p w14:paraId="282D5D7C" w14:textId="77777777" w:rsidR="00DE1D6A" w:rsidRPr="00C86383" w:rsidRDefault="00DE1D6A" w:rsidP="00C86383">
      <w:pPr>
        <w:pStyle w:val="Heading2"/>
        <w:spacing w:line="360" w:lineRule="auto"/>
        <w:jc w:val="both"/>
        <w:rPr>
          <w:rFonts w:asciiTheme="minorHAnsi" w:hAnsiTheme="minorHAnsi"/>
          <w:sz w:val="24"/>
          <w:szCs w:val="24"/>
        </w:rPr>
      </w:pPr>
    </w:p>
    <w:p w14:paraId="2C84B656" w14:textId="2D5254FF" w:rsidR="00DE1D6A" w:rsidRPr="00C86383" w:rsidRDefault="00DE1D6A" w:rsidP="00C86383">
      <w:pPr>
        <w:spacing w:line="360" w:lineRule="auto"/>
        <w:jc w:val="both"/>
        <w:rPr>
          <w:sz w:val="24"/>
          <w:szCs w:val="24"/>
        </w:rPr>
      </w:pPr>
      <w:r w:rsidRPr="00C86383">
        <w:rPr>
          <w:sz w:val="24"/>
          <w:szCs w:val="24"/>
        </w:rPr>
        <w:t>On 29 October, the Minister of Social Development published the draft Children’s Amendment Bill for comment. Submissions are due by 29 November 2018. We are concerned that the draft amendments do not allow the Children’s Courts to hear all guardianship applications. Access to guardianship applications at magistrate court level will improve access to court’</w:t>
      </w:r>
      <w:r w:rsidR="00F20D7D" w:rsidRPr="00F20D7D">
        <w:rPr>
          <w:sz w:val="24"/>
          <w:szCs w:val="24"/>
        </w:rPr>
        <w:t>s for family members</w:t>
      </w:r>
      <w:r w:rsidRPr="00C86383">
        <w:rPr>
          <w:sz w:val="24"/>
          <w:szCs w:val="24"/>
        </w:rPr>
        <w:t xml:space="preserve"> looking after orphaned </w:t>
      </w:r>
      <w:r w:rsidR="00F20D7D">
        <w:rPr>
          <w:sz w:val="24"/>
          <w:szCs w:val="24"/>
        </w:rPr>
        <w:t xml:space="preserve">and abandoned </w:t>
      </w:r>
      <w:r w:rsidRPr="00C86383">
        <w:rPr>
          <w:sz w:val="24"/>
          <w:szCs w:val="24"/>
        </w:rPr>
        <w:t>children.</w:t>
      </w:r>
      <w:r>
        <w:rPr>
          <w:sz w:val="24"/>
          <w:szCs w:val="24"/>
        </w:rPr>
        <w:t xml:space="preserve"> We are also concerned about</w:t>
      </w:r>
      <w:r w:rsidR="00F20D7D">
        <w:rPr>
          <w:sz w:val="24"/>
          <w:szCs w:val="24"/>
        </w:rPr>
        <w:t xml:space="preserve"> the amendments with respect to the protection of children’s privacy in court proceedings. </w:t>
      </w:r>
    </w:p>
    <w:p w14:paraId="64E42A2C" w14:textId="78C79C1B" w:rsidR="00DE1D6A" w:rsidRDefault="00DE1D6A" w:rsidP="00C86383">
      <w:pPr>
        <w:spacing w:line="360" w:lineRule="auto"/>
        <w:jc w:val="both"/>
        <w:rPr>
          <w:sz w:val="24"/>
          <w:szCs w:val="24"/>
        </w:rPr>
      </w:pPr>
      <w:r w:rsidRPr="00C86383">
        <w:rPr>
          <w:sz w:val="24"/>
          <w:szCs w:val="24"/>
        </w:rPr>
        <w:t>This position paper explains our concerns. If you agree, please include these concerns in your own organisation’s submission. The more submissions the Department receives, the more likely they may change the amendment.</w:t>
      </w:r>
    </w:p>
    <w:p w14:paraId="19304B0C" w14:textId="77777777" w:rsidR="00E21CED" w:rsidRPr="00C86383" w:rsidRDefault="00E21CED" w:rsidP="00C86383">
      <w:pPr>
        <w:spacing w:line="360" w:lineRule="auto"/>
        <w:jc w:val="both"/>
        <w:rPr>
          <w:sz w:val="24"/>
          <w:szCs w:val="24"/>
        </w:rPr>
      </w:pPr>
    </w:p>
    <w:p w14:paraId="17FBE6A5" w14:textId="16A90C8D" w:rsidR="00436BF5" w:rsidRDefault="00436BF5" w:rsidP="00C86383">
      <w:pPr>
        <w:pStyle w:val="Heading2"/>
        <w:spacing w:line="360" w:lineRule="auto"/>
        <w:jc w:val="both"/>
        <w:rPr>
          <w:rFonts w:asciiTheme="minorHAnsi" w:hAnsiTheme="minorHAnsi" w:cs="Times New Roman"/>
          <w:b/>
          <w:sz w:val="24"/>
          <w:szCs w:val="24"/>
        </w:rPr>
      </w:pPr>
      <w:r w:rsidRPr="00E21CED">
        <w:rPr>
          <w:rFonts w:asciiTheme="minorHAnsi" w:hAnsiTheme="minorHAnsi" w:cs="Times New Roman"/>
          <w:b/>
          <w:sz w:val="24"/>
          <w:szCs w:val="24"/>
        </w:rPr>
        <w:t>1) Guardianship and jurisdiction</w:t>
      </w:r>
      <w:r w:rsidR="00D96806" w:rsidRPr="00E21CED">
        <w:rPr>
          <w:rFonts w:asciiTheme="minorHAnsi" w:hAnsiTheme="minorHAnsi" w:cs="Times New Roman"/>
          <w:b/>
          <w:sz w:val="24"/>
          <w:szCs w:val="24"/>
        </w:rPr>
        <w:t xml:space="preserve"> – sections </w:t>
      </w:r>
      <w:r w:rsidR="00E71F4D" w:rsidRPr="00E21CED">
        <w:rPr>
          <w:rFonts w:asciiTheme="minorHAnsi" w:hAnsiTheme="minorHAnsi" w:cs="Times New Roman"/>
          <w:b/>
          <w:sz w:val="24"/>
          <w:szCs w:val="24"/>
        </w:rPr>
        <w:t xml:space="preserve">45 </w:t>
      </w:r>
      <w:r w:rsidR="00F20D7D" w:rsidRPr="00E21CED">
        <w:rPr>
          <w:rFonts w:asciiTheme="minorHAnsi" w:hAnsiTheme="minorHAnsi" w:cs="Times New Roman"/>
          <w:b/>
          <w:sz w:val="24"/>
          <w:szCs w:val="24"/>
        </w:rPr>
        <w:t>(</w:t>
      </w:r>
      <w:r w:rsidR="00D96806" w:rsidRPr="00E21CED">
        <w:rPr>
          <w:rFonts w:asciiTheme="minorHAnsi" w:hAnsiTheme="minorHAnsi" w:cs="Times New Roman"/>
          <w:b/>
          <w:sz w:val="24"/>
          <w:szCs w:val="24"/>
        </w:rPr>
        <w:t>and 24</w:t>
      </w:r>
      <w:r w:rsidR="00F20D7D" w:rsidRPr="00E21CED">
        <w:rPr>
          <w:rFonts w:asciiTheme="minorHAnsi" w:hAnsiTheme="minorHAnsi" w:cs="Times New Roman"/>
          <w:b/>
          <w:sz w:val="24"/>
          <w:szCs w:val="24"/>
        </w:rPr>
        <w:t>)</w:t>
      </w:r>
    </w:p>
    <w:p w14:paraId="526DCF5A" w14:textId="77777777" w:rsidR="00E21CED" w:rsidRPr="00E21CED" w:rsidRDefault="00E21CED" w:rsidP="00E21CED"/>
    <w:p w14:paraId="01ABDEBC" w14:textId="59A98B38" w:rsidR="00AD4DFB" w:rsidRPr="00C86383" w:rsidRDefault="00AD4DFB" w:rsidP="00C86383">
      <w:pPr>
        <w:spacing w:line="360" w:lineRule="auto"/>
        <w:jc w:val="both"/>
        <w:rPr>
          <w:rFonts w:cs="Times New Roman"/>
          <w:sz w:val="24"/>
          <w:szCs w:val="24"/>
        </w:rPr>
      </w:pPr>
      <w:r w:rsidRPr="00C86383">
        <w:rPr>
          <w:rFonts w:cs="Times New Roman"/>
          <w:sz w:val="24"/>
          <w:szCs w:val="24"/>
        </w:rPr>
        <w:t xml:space="preserve">The original intention of amending section 45 was to allow children’s courts to give orders for guardianship. </w:t>
      </w:r>
      <w:r w:rsidR="001E3155" w:rsidRPr="00C86383">
        <w:rPr>
          <w:rFonts w:cs="Times New Roman"/>
          <w:sz w:val="24"/>
          <w:szCs w:val="24"/>
        </w:rPr>
        <w:t>This is made clear in para 4.4.2.2. of the Child Care and Protection Policy</w:t>
      </w:r>
      <w:r w:rsidR="00E71F4D">
        <w:rPr>
          <w:rFonts w:cs="Times New Roman"/>
          <w:sz w:val="24"/>
          <w:szCs w:val="24"/>
        </w:rPr>
        <w:t xml:space="preserve"> (pg 88</w:t>
      </w:r>
      <w:r w:rsidR="00B44385">
        <w:rPr>
          <w:rFonts w:cs="Times New Roman"/>
          <w:sz w:val="24"/>
          <w:szCs w:val="24"/>
        </w:rPr>
        <w:t>)</w:t>
      </w:r>
      <w:r w:rsidR="001E3155" w:rsidRPr="00C86383">
        <w:rPr>
          <w:rFonts w:cs="Times New Roman"/>
          <w:sz w:val="24"/>
          <w:szCs w:val="24"/>
        </w:rPr>
        <w:t xml:space="preserve"> which states ‘Guardianship applications may be launched in the children’s court or High Court’. Therefore the </w:t>
      </w:r>
      <w:r w:rsidR="00B44385">
        <w:rPr>
          <w:rFonts w:cs="Times New Roman"/>
          <w:sz w:val="24"/>
          <w:szCs w:val="24"/>
        </w:rPr>
        <w:t>gazetted</w:t>
      </w:r>
      <w:r w:rsidR="001E3155" w:rsidRPr="00C86383">
        <w:rPr>
          <w:rFonts w:cs="Times New Roman"/>
          <w:sz w:val="24"/>
          <w:szCs w:val="24"/>
        </w:rPr>
        <w:t xml:space="preserve"> version of the Amendment Bill</w:t>
      </w:r>
      <w:r w:rsidR="001E3155" w:rsidRPr="00C86383">
        <w:rPr>
          <w:rFonts w:cs="Times New Roman"/>
          <w:sz w:val="24"/>
          <w:szCs w:val="24"/>
          <w:u w:val="single"/>
        </w:rPr>
        <w:t xml:space="preserve"> conflicts with the Policy</w:t>
      </w:r>
      <w:r w:rsidR="001E3155" w:rsidRPr="00C86383">
        <w:rPr>
          <w:rFonts w:cs="Times New Roman"/>
          <w:sz w:val="24"/>
          <w:szCs w:val="24"/>
        </w:rPr>
        <w:t xml:space="preserve">. </w:t>
      </w:r>
      <w:r w:rsidR="002C7C75" w:rsidRPr="00C86383">
        <w:rPr>
          <w:rFonts w:cs="Times New Roman"/>
          <w:sz w:val="24"/>
          <w:szCs w:val="24"/>
        </w:rPr>
        <w:t>During the consultations the idea that children’s courts should have capacity to grant guardianship applications was</w:t>
      </w:r>
      <w:r w:rsidRPr="00C86383">
        <w:rPr>
          <w:rFonts w:cs="Times New Roman"/>
          <w:sz w:val="24"/>
          <w:szCs w:val="24"/>
        </w:rPr>
        <w:t xml:space="preserve"> agreed upon by the majority of participants, and it is therefore surprising that in the August </w:t>
      </w:r>
      <w:r w:rsidR="00B44385">
        <w:rPr>
          <w:rFonts w:cs="Times New Roman"/>
          <w:sz w:val="24"/>
          <w:szCs w:val="24"/>
        </w:rPr>
        <w:t xml:space="preserve">and gazetted versions of the </w:t>
      </w:r>
      <w:r w:rsidRPr="00C86383">
        <w:rPr>
          <w:rFonts w:cs="Times New Roman"/>
          <w:sz w:val="24"/>
          <w:szCs w:val="24"/>
        </w:rPr>
        <w:t>Amendment Bill, this clause changed. The motivation for the change is not known.</w:t>
      </w:r>
      <w:r w:rsidR="001E3155" w:rsidRPr="00C86383">
        <w:rPr>
          <w:rFonts w:cs="Times New Roman"/>
          <w:sz w:val="24"/>
          <w:szCs w:val="24"/>
        </w:rPr>
        <w:t xml:space="preserve"> </w:t>
      </w:r>
    </w:p>
    <w:p w14:paraId="7363582E" w14:textId="49FB6F9A" w:rsidR="00C80908" w:rsidRPr="00C86383" w:rsidRDefault="00C80908" w:rsidP="00C86383">
      <w:pPr>
        <w:pStyle w:val="Heading2"/>
        <w:spacing w:line="360" w:lineRule="auto"/>
        <w:jc w:val="both"/>
        <w:rPr>
          <w:rFonts w:asciiTheme="minorHAnsi" w:hAnsiTheme="minorHAnsi" w:cs="Times New Roman"/>
          <w:sz w:val="24"/>
          <w:szCs w:val="24"/>
        </w:rPr>
      </w:pPr>
      <w:r w:rsidRPr="00C86383">
        <w:rPr>
          <w:rFonts w:asciiTheme="minorHAnsi" w:hAnsiTheme="minorHAnsi" w:cs="Times New Roman"/>
          <w:sz w:val="24"/>
          <w:szCs w:val="24"/>
        </w:rPr>
        <w:lastRenderedPageBreak/>
        <w:t>Submissions</w:t>
      </w:r>
    </w:p>
    <w:p w14:paraId="4DF5376B" w14:textId="77777777" w:rsidR="00C80908" w:rsidRPr="00C86383" w:rsidRDefault="00C80908" w:rsidP="00C86383">
      <w:pPr>
        <w:spacing w:line="360" w:lineRule="auto"/>
        <w:jc w:val="both"/>
        <w:rPr>
          <w:rFonts w:cs="Times New Roman"/>
          <w:sz w:val="24"/>
          <w:szCs w:val="24"/>
        </w:rPr>
      </w:pPr>
    </w:p>
    <w:p w14:paraId="44BCF4EE" w14:textId="01B9F7AE" w:rsidR="00FD2568" w:rsidRPr="00C86383" w:rsidRDefault="00E71F4D" w:rsidP="00C86383">
      <w:pPr>
        <w:spacing w:line="360" w:lineRule="auto"/>
        <w:jc w:val="both"/>
        <w:rPr>
          <w:rFonts w:cs="Times New Roman"/>
          <w:b/>
          <w:sz w:val="24"/>
          <w:szCs w:val="24"/>
        </w:rPr>
      </w:pPr>
      <w:r>
        <w:rPr>
          <w:rFonts w:cs="Times New Roman"/>
          <w:b/>
          <w:sz w:val="24"/>
          <w:szCs w:val="24"/>
        </w:rPr>
        <w:t>S</w:t>
      </w:r>
      <w:r w:rsidR="000D7E2F" w:rsidRPr="00C86383">
        <w:rPr>
          <w:rFonts w:cs="Times New Roman"/>
          <w:b/>
          <w:sz w:val="24"/>
          <w:szCs w:val="24"/>
        </w:rPr>
        <w:t>ection 4</w:t>
      </w:r>
      <w:r w:rsidR="00FD2568" w:rsidRPr="00C86383">
        <w:rPr>
          <w:rFonts w:cs="Times New Roman"/>
          <w:b/>
          <w:sz w:val="24"/>
          <w:szCs w:val="24"/>
        </w:rPr>
        <w:t>5</w:t>
      </w:r>
      <w:r>
        <w:rPr>
          <w:rFonts w:cs="Times New Roman"/>
          <w:b/>
          <w:sz w:val="24"/>
          <w:szCs w:val="24"/>
        </w:rPr>
        <w:t xml:space="preserve"> (1) – Matters Children’s Court may adjudicate</w:t>
      </w:r>
    </w:p>
    <w:p w14:paraId="64D44573" w14:textId="565F7339" w:rsidR="00AD4DFB" w:rsidRPr="00C86383" w:rsidRDefault="00AD4DFB" w:rsidP="00C86383">
      <w:pPr>
        <w:spacing w:line="360" w:lineRule="auto"/>
        <w:jc w:val="both"/>
        <w:rPr>
          <w:rFonts w:cs="Times New Roman"/>
          <w:sz w:val="24"/>
          <w:szCs w:val="24"/>
        </w:rPr>
      </w:pPr>
      <w:r w:rsidRPr="00C86383">
        <w:rPr>
          <w:rFonts w:cs="Times New Roman"/>
          <w:sz w:val="24"/>
          <w:szCs w:val="24"/>
        </w:rPr>
        <w:t xml:space="preserve">The </w:t>
      </w:r>
      <w:r w:rsidR="00E71F4D">
        <w:rPr>
          <w:rFonts w:cs="Times New Roman"/>
          <w:sz w:val="24"/>
          <w:szCs w:val="24"/>
        </w:rPr>
        <w:t xml:space="preserve">draft amendment </w:t>
      </w:r>
      <w:r w:rsidRPr="00C86383">
        <w:rPr>
          <w:rFonts w:cs="Times New Roman"/>
          <w:sz w:val="24"/>
          <w:szCs w:val="24"/>
        </w:rPr>
        <w:t xml:space="preserve">reads: </w:t>
      </w:r>
    </w:p>
    <w:p w14:paraId="6CBBBA0A" w14:textId="77777777" w:rsidR="00E21CED" w:rsidRDefault="00AD4DFB" w:rsidP="00C86383">
      <w:pPr>
        <w:spacing w:line="360" w:lineRule="auto"/>
        <w:jc w:val="both"/>
        <w:rPr>
          <w:rFonts w:cs="Times New Roman"/>
          <w:sz w:val="24"/>
          <w:szCs w:val="24"/>
          <w:u w:val="single"/>
        </w:rPr>
      </w:pPr>
      <w:r w:rsidRPr="00C86383">
        <w:rPr>
          <w:rFonts w:cs="Times New Roman"/>
          <w:sz w:val="24"/>
          <w:szCs w:val="24"/>
        </w:rPr>
        <w:t>“</w:t>
      </w:r>
      <w:r w:rsidRPr="00C86383">
        <w:rPr>
          <w:rFonts w:cs="Times New Roman"/>
          <w:sz w:val="24"/>
          <w:szCs w:val="24"/>
          <w:u w:val="single"/>
        </w:rPr>
        <w:t>(bA) guardianship of an orphaned or abandoned child as contemplated in section (24)</w:t>
      </w:r>
    </w:p>
    <w:p w14:paraId="01F1D71A" w14:textId="78DCF1B0" w:rsidR="00AD4DFB" w:rsidRPr="00C86383" w:rsidRDefault="00AD4DFB" w:rsidP="00C86383">
      <w:pPr>
        <w:spacing w:line="360" w:lineRule="auto"/>
        <w:jc w:val="both"/>
        <w:rPr>
          <w:rFonts w:cs="Times New Roman"/>
          <w:sz w:val="24"/>
          <w:szCs w:val="24"/>
        </w:rPr>
      </w:pPr>
      <w:r w:rsidRPr="00C86383">
        <w:rPr>
          <w:rFonts w:cs="Times New Roman"/>
          <w:sz w:val="24"/>
          <w:szCs w:val="24"/>
        </w:rPr>
        <w:t>We propose that this be changed to either one of two formulations, which are motivated below:</w:t>
      </w:r>
    </w:p>
    <w:p w14:paraId="35D5A4DD" w14:textId="77777777" w:rsidR="00AD4DFB" w:rsidRPr="00C86383" w:rsidRDefault="00AD4DFB" w:rsidP="00C86383">
      <w:pPr>
        <w:spacing w:line="360" w:lineRule="auto"/>
        <w:jc w:val="both"/>
        <w:rPr>
          <w:rFonts w:cs="Times New Roman"/>
          <w:sz w:val="24"/>
          <w:szCs w:val="24"/>
        </w:rPr>
      </w:pPr>
      <w:r w:rsidRPr="00C86383">
        <w:rPr>
          <w:rFonts w:cs="Times New Roman"/>
          <w:sz w:val="24"/>
          <w:szCs w:val="24"/>
        </w:rPr>
        <w:t>“</w:t>
      </w:r>
      <w:r w:rsidRPr="00C86383">
        <w:rPr>
          <w:rFonts w:cs="Times New Roman"/>
          <w:sz w:val="24"/>
          <w:szCs w:val="24"/>
          <w:u w:val="single"/>
        </w:rPr>
        <w:t>(</w:t>
      </w:r>
      <w:r w:rsidRPr="00C86383">
        <w:rPr>
          <w:rFonts w:cs="Times New Roman"/>
          <w:i/>
          <w:sz w:val="24"/>
          <w:szCs w:val="24"/>
          <w:u w:val="single"/>
        </w:rPr>
        <w:t>bA</w:t>
      </w:r>
      <w:r w:rsidRPr="00C86383">
        <w:rPr>
          <w:rFonts w:cs="Times New Roman"/>
          <w:sz w:val="24"/>
          <w:szCs w:val="24"/>
          <w:u w:val="single"/>
        </w:rPr>
        <w:t>) guardianship</w:t>
      </w:r>
      <w:r w:rsidRPr="00C86383">
        <w:rPr>
          <w:rFonts w:cs="Times New Roman"/>
          <w:sz w:val="24"/>
          <w:szCs w:val="24"/>
        </w:rPr>
        <w:t>”</w:t>
      </w:r>
    </w:p>
    <w:p w14:paraId="38E6E593" w14:textId="42D53028" w:rsidR="00AD4DFB" w:rsidRPr="00C86383" w:rsidRDefault="00AD4DFB" w:rsidP="00C86383">
      <w:pPr>
        <w:spacing w:line="360" w:lineRule="auto"/>
        <w:jc w:val="both"/>
        <w:rPr>
          <w:rFonts w:cs="Times New Roman"/>
          <w:sz w:val="24"/>
          <w:szCs w:val="24"/>
        </w:rPr>
      </w:pPr>
      <w:r w:rsidRPr="00C86383">
        <w:rPr>
          <w:rFonts w:cs="Times New Roman"/>
          <w:sz w:val="24"/>
          <w:szCs w:val="24"/>
        </w:rPr>
        <w:t>Another possible formulation is:</w:t>
      </w:r>
    </w:p>
    <w:p w14:paraId="27B13371" w14:textId="5B2E2FC8" w:rsidR="00AD4DFB" w:rsidRDefault="00AD4DFB" w:rsidP="00C86383">
      <w:pPr>
        <w:spacing w:line="360" w:lineRule="auto"/>
        <w:jc w:val="both"/>
        <w:rPr>
          <w:rFonts w:cs="Times New Roman"/>
          <w:sz w:val="24"/>
          <w:szCs w:val="24"/>
        </w:rPr>
      </w:pPr>
      <w:r w:rsidRPr="00C86383">
        <w:rPr>
          <w:rFonts w:cs="Times New Roman"/>
          <w:sz w:val="24"/>
          <w:szCs w:val="24"/>
        </w:rPr>
        <w:t>“</w:t>
      </w:r>
      <w:r w:rsidRPr="00C86383">
        <w:rPr>
          <w:rFonts w:cs="Times New Roman"/>
          <w:sz w:val="24"/>
          <w:szCs w:val="24"/>
          <w:u w:val="single"/>
        </w:rPr>
        <w:t>(</w:t>
      </w:r>
      <w:r w:rsidRPr="00C86383">
        <w:rPr>
          <w:rFonts w:cs="Times New Roman"/>
          <w:i/>
          <w:sz w:val="24"/>
          <w:szCs w:val="24"/>
          <w:u w:val="single"/>
        </w:rPr>
        <w:t>bA</w:t>
      </w:r>
      <w:r w:rsidRPr="00C86383">
        <w:rPr>
          <w:rFonts w:cs="Times New Roman"/>
          <w:sz w:val="24"/>
          <w:szCs w:val="24"/>
          <w:u w:val="single"/>
        </w:rPr>
        <w:t xml:space="preserve">) guardianship where the application is brought by </w:t>
      </w:r>
      <w:r w:rsidR="002C7C75" w:rsidRPr="00C86383">
        <w:rPr>
          <w:rFonts w:cs="Times New Roman"/>
          <w:sz w:val="24"/>
          <w:szCs w:val="24"/>
          <w:u w:val="single"/>
        </w:rPr>
        <w:t xml:space="preserve">the child’s biological father or other </w:t>
      </w:r>
      <w:r w:rsidRPr="00C86383">
        <w:rPr>
          <w:rFonts w:cs="Times New Roman"/>
          <w:sz w:val="24"/>
          <w:szCs w:val="24"/>
          <w:u w:val="single"/>
        </w:rPr>
        <w:t>relative of the child</w:t>
      </w:r>
      <w:r w:rsidRPr="00C86383">
        <w:rPr>
          <w:rFonts w:cs="Times New Roman"/>
          <w:sz w:val="24"/>
          <w:szCs w:val="24"/>
        </w:rPr>
        <w:t>”.</w:t>
      </w:r>
    </w:p>
    <w:p w14:paraId="6A280AB0" w14:textId="77777777" w:rsidR="00F20D7D" w:rsidRDefault="00F20D7D" w:rsidP="00F20D7D">
      <w:pPr>
        <w:spacing w:line="360" w:lineRule="auto"/>
        <w:jc w:val="both"/>
        <w:rPr>
          <w:rFonts w:cs="Times New Roman"/>
          <w:b/>
          <w:sz w:val="24"/>
          <w:szCs w:val="24"/>
        </w:rPr>
      </w:pPr>
      <w:r>
        <w:rPr>
          <w:rFonts w:cs="Times New Roman"/>
          <w:b/>
          <w:sz w:val="24"/>
          <w:szCs w:val="24"/>
        </w:rPr>
        <w:t>Section 24 – Assignment of guardianship by order of court</w:t>
      </w:r>
    </w:p>
    <w:p w14:paraId="1D2EFB40" w14:textId="77777777" w:rsidR="00F20D7D" w:rsidRPr="00F13AE9" w:rsidRDefault="00F20D7D" w:rsidP="00F20D7D">
      <w:pPr>
        <w:spacing w:line="360" w:lineRule="auto"/>
        <w:jc w:val="both"/>
        <w:rPr>
          <w:rFonts w:cs="Times New Roman"/>
          <w:sz w:val="24"/>
          <w:szCs w:val="24"/>
        </w:rPr>
      </w:pPr>
      <w:r w:rsidRPr="00F13AE9">
        <w:rPr>
          <w:rFonts w:cs="Times New Roman"/>
          <w:sz w:val="24"/>
          <w:szCs w:val="24"/>
        </w:rPr>
        <w:t xml:space="preserve">We propose that section 24 be amended by the inclusion of the Children’s Court as an option in subsection 24(1). </w:t>
      </w:r>
    </w:p>
    <w:tbl>
      <w:tblPr>
        <w:tblStyle w:val="TableGrid"/>
        <w:tblW w:w="9016" w:type="dxa"/>
        <w:tblLook w:val="04A0" w:firstRow="1" w:lastRow="0" w:firstColumn="1" w:lastColumn="0" w:noHBand="0" w:noVBand="1"/>
      </w:tblPr>
      <w:tblGrid>
        <w:gridCol w:w="2235"/>
        <w:gridCol w:w="3118"/>
        <w:gridCol w:w="3663"/>
      </w:tblGrid>
      <w:tr w:rsidR="00803A03" w:rsidRPr="00DE1D6A" w14:paraId="3EDC394B" w14:textId="77777777" w:rsidTr="00E21CED">
        <w:tc>
          <w:tcPr>
            <w:tcW w:w="2235" w:type="dxa"/>
          </w:tcPr>
          <w:p w14:paraId="7633370F" w14:textId="50C192D1" w:rsidR="00803A03" w:rsidRPr="00C86383" w:rsidRDefault="00803A03" w:rsidP="00E21CED">
            <w:pPr>
              <w:spacing w:line="360" w:lineRule="auto"/>
              <w:jc w:val="both"/>
              <w:rPr>
                <w:rFonts w:cs="Times New Roman"/>
                <w:b/>
                <w:sz w:val="24"/>
                <w:szCs w:val="24"/>
              </w:rPr>
            </w:pPr>
            <w:bookmarkStart w:id="0" w:name="_Hlk530229347"/>
            <w:r w:rsidRPr="00C86383">
              <w:rPr>
                <w:rFonts w:cs="Times New Roman"/>
                <w:b/>
                <w:sz w:val="24"/>
                <w:szCs w:val="24"/>
              </w:rPr>
              <w:t xml:space="preserve">Clause </w:t>
            </w:r>
          </w:p>
        </w:tc>
        <w:tc>
          <w:tcPr>
            <w:tcW w:w="3118" w:type="dxa"/>
          </w:tcPr>
          <w:p w14:paraId="25D4272C" w14:textId="77777777" w:rsidR="00803A03" w:rsidRPr="00C86383" w:rsidRDefault="00803A03" w:rsidP="00C86383">
            <w:pPr>
              <w:spacing w:line="360" w:lineRule="auto"/>
              <w:jc w:val="both"/>
              <w:rPr>
                <w:rFonts w:cs="Times New Roman"/>
                <w:b/>
                <w:sz w:val="24"/>
                <w:szCs w:val="24"/>
              </w:rPr>
            </w:pPr>
            <w:r w:rsidRPr="00C86383">
              <w:rPr>
                <w:rFonts w:cs="Times New Roman"/>
                <w:b/>
                <w:sz w:val="24"/>
                <w:szCs w:val="24"/>
              </w:rPr>
              <w:t>Proposal</w:t>
            </w:r>
          </w:p>
        </w:tc>
        <w:tc>
          <w:tcPr>
            <w:tcW w:w="3663" w:type="dxa"/>
          </w:tcPr>
          <w:p w14:paraId="56EF8C0A" w14:textId="77777777" w:rsidR="00803A03" w:rsidRPr="00C86383" w:rsidRDefault="00803A03" w:rsidP="00C86383">
            <w:pPr>
              <w:spacing w:line="360" w:lineRule="auto"/>
              <w:jc w:val="both"/>
              <w:rPr>
                <w:rFonts w:cs="Times New Roman"/>
                <w:b/>
                <w:sz w:val="24"/>
                <w:szCs w:val="24"/>
              </w:rPr>
            </w:pPr>
            <w:r w:rsidRPr="00C86383">
              <w:rPr>
                <w:rFonts w:cs="Times New Roman"/>
                <w:b/>
                <w:sz w:val="24"/>
                <w:szCs w:val="24"/>
              </w:rPr>
              <w:t>Motivation</w:t>
            </w:r>
          </w:p>
        </w:tc>
      </w:tr>
      <w:tr w:rsidR="00E21CED" w:rsidRPr="00DE1D6A" w14:paraId="441E8620" w14:textId="77777777" w:rsidTr="00E21CED">
        <w:tc>
          <w:tcPr>
            <w:tcW w:w="2235" w:type="dxa"/>
          </w:tcPr>
          <w:p w14:paraId="218ECE09" w14:textId="77777777" w:rsidR="00E21CED" w:rsidRPr="00C86383" w:rsidRDefault="00E21CED" w:rsidP="00E21CED">
            <w:pPr>
              <w:spacing w:line="360" w:lineRule="auto"/>
              <w:jc w:val="both"/>
              <w:rPr>
                <w:rFonts w:cs="Times New Roman"/>
                <w:b/>
                <w:sz w:val="24"/>
                <w:szCs w:val="24"/>
              </w:rPr>
            </w:pPr>
            <w:r w:rsidRPr="00C86383">
              <w:rPr>
                <w:rFonts w:cs="Times New Roman"/>
                <w:bCs/>
                <w:sz w:val="24"/>
                <w:szCs w:val="24"/>
              </w:rPr>
              <w:t xml:space="preserve">Section 45 - </w:t>
            </w:r>
            <w:r w:rsidRPr="00C86383">
              <w:rPr>
                <w:rFonts w:cs="Times New Roman"/>
                <w:sz w:val="24"/>
                <w:szCs w:val="24"/>
              </w:rPr>
              <w:t>Matters children’s courts may adjudicate</w:t>
            </w:r>
          </w:p>
        </w:tc>
        <w:tc>
          <w:tcPr>
            <w:tcW w:w="3118" w:type="dxa"/>
          </w:tcPr>
          <w:p w14:paraId="1FD9C864" w14:textId="070AE887" w:rsidR="00E21CED" w:rsidRPr="00C86383" w:rsidRDefault="00E21CED" w:rsidP="00E21CED">
            <w:pPr>
              <w:spacing w:line="360" w:lineRule="auto"/>
              <w:jc w:val="both"/>
              <w:rPr>
                <w:rFonts w:cs="Times New Roman"/>
                <w:sz w:val="24"/>
                <w:szCs w:val="24"/>
              </w:rPr>
            </w:pPr>
            <w:r w:rsidRPr="00C86383">
              <w:rPr>
                <w:rFonts w:cs="Times New Roman"/>
                <w:sz w:val="24"/>
                <w:szCs w:val="24"/>
              </w:rPr>
              <w:t xml:space="preserve">Delete </w:t>
            </w:r>
            <w:r>
              <w:rPr>
                <w:rFonts w:cs="Times New Roman"/>
                <w:sz w:val="24"/>
                <w:szCs w:val="24"/>
              </w:rPr>
              <w:t xml:space="preserve">subsection (bA) </w:t>
            </w:r>
            <w:r w:rsidRPr="00C86383">
              <w:rPr>
                <w:rFonts w:cs="Times New Roman"/>
                <w:sz w:val="24"/>
                <w:szCs w:val="24"/>
              </w:rPr>
              <w:t>and replace with either one of two formulations:</w:t>
            </w:r>
          </w:p>
          <w:p w14:paraId="739E7CC9" w14:textId="592FAC4C" w:rsidR="00E21CED" w:rsidRPr="00C86383" w:rsidRDefault="00E21CED" w:rsidP="00E21CED">
            <w:pPr>
              <w:spacing w:line="360" w:lineRule="auto"/>
              <w:jc w:val="both"/>
              <w:rPr>
                <w:rFonts w:cs="Times New Roman"/>
                <w:sz w:val="24"/>
                <w:szCs w:val="24"/>
              </w:rPr>
            </w:pPr>
            <w:r w:rsidRPr="00C86383">
              <w:rPr>
                <w:rFonts w:cs="Times New Roman"/>
                <w:sz w:val="24"/>
                <w:szCs w:val="24"/>
              </w:rPr>
              <w:t>Proposal A:</w:t>
            </w:r>
          </w:p>
          <w:p w14:paraId="0AC96F8B" w14:textId="77777777" w:rsidR="00E21CED" w:rsidRPr="00C86383" w:rsidRDefault="00E21CED" w:rsidP="00E21CED">
            <w:pPr>
              <w:spacing w:line="360" w:lineRule="auto"/>
              <w:jc w:val="both"/>
              <w:rPr>
                <w:rFonts w:cs="Times New Roman"/>
                <w:sz w:val="24"/>
                <w:szCs w:val="24"/>
              </w:rPr>
            </w:pPr>
            <w:r w:rsidRPr="00C86383">
              <w:rPr>
                <w:rFonts w:cs="Times New Roman"/>
                <w:sz w:val="24"/>
                <w:szCs w:val="24"/>
              </w:rPr>
              <w:t>“</w:t>
            </w:r>
            <w:r w:rsidRPr="00C86383">
              <w:rPr>
                <w:rFonts w:cs="Times New Roman"/>
                <w:sz w:val="24"/>
                <w:szCs w:val="24"/>
                <w:u w:val="single"/>
              </w:rPr>
              <w:t>(</w:t>
            </w:r>
            <w:r w:rsidRPr="00C86383">
              <w:rPr>
                <w:rFonts w:cs="Times New Roman"/>
                <w:i/>
                <w:sz w:val="24"/>
                <w:szCs w:val="24"/>
                <w:u w:val="single"/>
              </w:rPr>
              <w:t>bA</w:t>
            </w:r>
            <w:r w:rsidRPr="00C86383">
              <w:rPr>
                <w:rFonts w:cs="Times New Roman"/>
                <w:sz w:val="24"/>
                <w:szCs w:val="24"/>
                <w:u w:val="single"/>
              </w:rPr>
              <w:t>) guardianship</w:t>
            </w:r>
            <w:r w:rsidRPr="00C86383">
              <w:rPr>
                <w:rFonts w:cs="Times New Roman"/>
                <w:sz w:val="24"/>
                <w:szCs w:val="24"/>
              </w:rPr>
              <w:t>”</w:t>
            </w:r>
          </w:p>
          <w:p w14:paraId="19B77331" w14:textId="77777777" w:rsidR="00E21CED" w:rsidRPr="00C86383" w:rsidRDefault="00E21CED" w:rsidP="00E21CED">
            <w:pPr>
              <w:spacing w:line="360" w:lineRule="auto"/>
              <w:jc w:val="both"/>
              <w:rPr>
                <w:rFonts w:cs="Times New Roman"/>
                <w:sz w:val="24"/>
                <w:szCs w:val="24"/>
              </w:rPr>
            </w:pPr>
          </w:p>
          <w:p w14:paraId="01F8D432" w14:textId="77777777" w:rsidR="00E21CED" w:rsidRPr="00C86383" w:rsidRDefault="00E21CED" w:rsidP="00E21CED">
            <w:pPr>
              <w:spacing w:line="360" w:lineRule="auto"/>
              <w:jc w:val="both"/>
              <w:rPr>
                <w:rFonts w:cs="Times New Roman"/>
                <w:sz w:val="24"/>
                <w:szCs w:val="24"/>
              </w:rPr>
            </w:pPr>
            <w:r w:rsidRPr="00C86383">
              <w:rPr>
                <w:rFonts w:cs="Times New Roman"/>
                <w:sz w:val="24"/>
                <w:szCs w:val="24"/>
              </w:rPr>
              <w:t>Proposal B:</w:t>
            </w:r>
          </w:p>
          <w:p w14:paraId="6CC8E1FA" w14:textId="12AC95BB" w:rsidR="00E21CED" w:rsidRPr="00C86383" w:rsidRDefault="00E21CED" w:rsidP="00E21CED">
            <w:pPr>
              <w:spacing w:line="360" w:lineRule="auto"/>
              <w:jc w:val="both"/>
              <w:rPr>
                <w:rFonts w:cs="Times New Roman"/>
                <w:sz w:val="24"/>
                <w:szCs w:val="24"/>
              </w:rPr>
            </w:pPr>
            <w:r w:rsidRPr="00C86383">
              <w:rPr>
                <w:rFonts w:cs="Times New Roman"/>
                <w:sz w:val="24"/>
                <w:szCs w:val="24"/>
              </w:rPr>
              <w:t>Another possible formulation is:</w:t>
            </w:r>
          </w:p>
          <w:p w14:paraId="3BC983AF" w14:textId="2D171CA2" w:rsidR="00E21CED" w:rsidRPr="00C86383" w:rsidRDefault="00E21CED" w:rsidP="00E21CED">
            <w:pPr>
              <w:spacing w:line="360" w:lineRule="auto"/>
              <w:jc w:val="both"/>
              <w:rPr>
                <w:rFonts w:cs="Times New Roman"/>
                <w:sz w:val="24"/>
                <w:szCs w:val="24"/>
              </w:rPr>
            </w:pPr>
            <w:r w:rsidRPr="00C86383">
              <w:rPr>
                <w:rFonts w:cs="Times New Roman"/>
                <w:sz w:val="24"/>
                <w:szCs w:val="24"/>
              </w:rPr>
              <w:t>“</w:t>
            </w:r>
            <w:r w:rsidRPr="00C86383">
              <w:rPr>
                <w:rFonts w:cs="Times New Roman"/>
                <w:sz w:val="24"/>
                <w:szCs w:val="24"/>
                <w:u w:val="single"/>
              </w:rPr>
              <w:t>(</w:t>
            </w:r>
            <w:r w:rsidRPr="00C86383">
              <w:rPr>
                <w:rFonts w:cs="Times New Roman"/>
                <w:i/>
                <w:sz w:val="24"/>
                <w:szCs w:val="24"/>
                <w:u w:val="single"/>
              </w:rPr>
              <w:t>bA</w:t>
            </w:r>
            <w:r w:rsidRPr="00C86383">
              <w:rPr>
                <w:rFonts w:cs="Times New Roman"/>
                <w:sz w:val="24"/>
                <w:szCs w:val="24"/>
                <w:u w:val="single"/>
              </w:rPr>
              <w:t>) guardianship where the application is brought by the child’s bio</w:t>
            </w:r>
            <w:r w:rsidR="00A85A22">
              <w:rPr>
                <w:rFonts w:cs="Times New Roman"/>
                <w:sz w:val="24"/>
                <w:szCs w:val="24"/>
                <w:u w:val="single"/>
              </w:rPr>
              <w:t xml:space="preserve">logical father or other relative </w:t>
            </w:r>
            <w:r w:rsidRPr="00C86383">
              <w:rPr>
                <w:rFonts w:cs="Times New Roman"/>
                <w:sz w:val="24"/>
                <w:szCs w:val="24"/>
                <w:u w:val="single"/>
              </w:rPr>
              <w:t>of the child</w:t>
            </w:r>
            <w:r w:rsidRPr="00C86383">
              <w:rPr>
                <w:rFonts w:cs="Times New Roman"/>
                <w:sz w:val="24"/>
                <w:szCs w:val="24"/>
              </w:rPr>
              <w:t>”</w:t>
            </w:r>
          </w:p>
          <w:p w14:paraId="364C55FF" w14:textId="77777777" w:rsidR="00E21CED" w:rsidRPr="00C86383" w:rsidRDefault="00E21CED" w:rsidP="00E21CED">
            <w:pPr>
              <w:spacing w:line="360" w:lineRule="auto"/>
              <w:jc w:val="both"/>
              <w:rPr>
                <w:rFonts w:cs="Times New Roman"/>
                <w:sz w:val="24"/>
                <w:szCs w:val="24"/>
              </w:rPr>
            </w:pPr>
          </w:p>
          <w:p w14:paraId="012FC94F" w14:textId="2C9BFEF7" w:rsidR="00E21CED" w:rsidRPr="00C86383" w:rsidRDefault="00E21CED" w:rsidP="00E21CED">
            <w:pPr>
              <w:spacing w:line="360" w:lineRule="auto"/>
              <w:jc w:val="both"/>
              <w:rPr>
                <w:rFonts w:cs="Times New Roman"/>
                <w:sz w:val="24"/>
                <w:szCs w:val="24"/>
              </w:rPr>
            </w:pPr>
            <w:r w:rsidRPr="00C86383">
              <w:rPr>
                <w:rFonts w:cs="Times New Roman"/>
                <w:sz w:val="24"/>
                <w:szCs w:val="24"/>
              </w:rPr>
              <w:t xml:space="preserve"> </w:t>
            </w:r>
          </w:p>
        </w:tc>
        <w:tc>
          <w:tcPr>
            <w:tcW w:w="3663" w:type="dxa"/>
          </w:tcPr>
          <w:p w14:paraId="0702981E" w14:textId="48A7D9B4" w:rsidR="00E21CED" w:rsidRPr="00C86383" w:rsidRDefault="00E21CED" w:rsidP="00E21CED">
            <w:pPr>
              <w:spacing w:line="360" w:lineRule="auto"/>
              <w:jc w:val="both"/>
              <w:rPr>
                <w:rFonts w:cs="Times New Roman"/>
                <w:sz w:val="24"/>
                <w:szCs w:val="24"/>
              </w:rPr>
            </w:pPr>
            <w:r>
              <w:rPr>
                <w:rFonts w:cs="Times New Roman"/>
                <w:sz w:val="24"/>
                <w:szCs w:val="24"/>
              </w:rPr>
              <w:lastRenderedPageBreak/>
              <w:t xml:space="preserve">The proposed amendment to </w:t>
            </w:r>
            <w:r w:rsidRPr="00C86383">
              <w:rPr>
                <w:rFonts w:cs="Times New Roman"/>
                <w:sz w:val="24"/>
                <w:szCs w:val="24"/>
              </w:rPr>
              <w:t xml:space="preserve">s 45 is not supported. It is in conflict with the Care and Protection Policy </w:t>
            </w:r>
            <w:r>
              <w:rPr>
                <w:rFonts w:cs="Times New Roman"/>
                <w:sz w:val="24"/>
                <w:szCs w:val="24"/>
              </w:rPr>
              <w:t xml:space="preserve">Para </w:t>
            </w:r>
            <w:r w:rsidRPr="00C86383">
              <w:rPr>
                <w:rFonts w:cs="Times New Roman"/>
                <w:sz w:val="24"/>
                <w:szCs w:val="24"/>
              </w:rPr>
              <w:t>4.4.2.2.</w:t>
            </w:r>
            <w:r>
              <w:rPr>
                <w:rFonts w:cs="Times New Roman"/>
                <w:sz w:val="24"/>
                <w:szCs w:val="24"/>
              </w:rPr>
              <w:t xml:space="preserve"> (pg 88).</w:t>
            </w:r>
            <w:r w:rsidRPr="00C86383">
              <w:rPr>
                <w:rFonts w:cs="Times New Roman"/>
                <w:sz w:val="24"/>
                <w:szCs w:val="24"/>
              </w:rPr>
              <w:t xml:space="preserve"> The problems with the clause include the fact that the new definition of orphan requires that both parents are dead. As many grandmothers or aunts car</w:t>
            </w:r>
            <w:r>
              <w:rPr>
                <w:rFonts w:cs="Times New Roman"/>
                <w:sz w:val="24"/>
                <w:szCs w:val="24"/>
              </w:rPr>
              <w:t>e</w:t>
            </w:r>
            <w:r w:rsidRPr="00C86383">
              <w:rPr>
                <w:rFonts w:cs="Times New Roman"/>
                <w:sz w:val="24"/>
                <w:szCs w:val="24"/>
              </w:rPr>
              <w:t xml:space="preserve"> for children where the father of the child is still alive, these applications will not be able to be dealt with through the children’s court, thereby </w:t>
            </w:r>
            <w:r w:rsidRPr="00C86383">
              <w:rPr>
                <w:rFonts w:cs="Times New Roman"/>
                <w:sz w:val="24"/>
                <w:szCs w:val="24"/>
              </w:rPr>
              <w:lastRenderedPageBreak/>
              <w:t>obliterating the actual benefits that the amendment of this clause was meant to achieve.</w:t>
            </w:r>
          </w:p>
          <w:p w14:paraId="039E2999" w14:textId="6A57A9A7" w:rsidR="00E21CED" w:rsidRPr="00C86383" w:rsidRDefault="00E21CED" w:rsidP="00E21CED">
            <w:pPr>
              <w:spacing w:line="360" w:lineRule="auto"/>
              <w:jc w:val="both"/>
              <w:rPr>
                <w:rFonts w:cs="Times New Roman"/>
                <w:sz w:val="24"/>
                <w:szCs w:val="24"/>
              </w:rPr>
            </w:pPr>
            <w:r w:rsidRPr="00C86383">
              <w:rPr>
                <w:rFonts w:cs="Times New Roman"/>
                <w:sz w:val="24"/>
                <w:szCs w:val="24"/>
              </w:rPr>
              <w:t xml:space="preserve">The first of our two proposed wordings best aligns with </w:t>
            </w:r>
            <w:r>
              <w:rPr>
                <w:rFonts w:cs="Times New Roman"/>
                <w:sz w:val="24"/>
                <w:szCs w:val="24"/>
              </w:rPr>
              <w:t xml:space="preserve">the Policy position </w:t>
            </w:r>
            <w:r w:rsidRPr="00C86383">
              <w:rPr>
                <w:rFonts w:cs="Times New Roman"/>
                <w:sz w:val="24"/>
                <w:szCs w:val="24"/>
              </w:rPr>
              <w:t>which simply states that ‘Guardianship applications may be launched in the children’s court or High Court’.</w:t>
            </w:r>
          </w:p>
          <w:p w14:paraId="214A8D61" w14:textId="763E7538" w:rsidR="00E21CED" w:rsidRPr="00C86383" w:rsidRDefault="00E21CED" w:rsidP="00E21CED">
            <w:pPr>
              <w:spacing w:line="360" w:lineRule="auto"/>
              <w:jc w:val="both"/>
              <w:rPr>
                <w:rFonts w:cs="Times New Roman"/>
                <w:sz w:val="24"/>
                <w:szCs w:val="24"/>
              </w:rPr>
            </w:pPr>
            <w:r w:rsidRPr="00C86383">
              <w:rPr>
                <w:rFonts w:cs="Times New Roman"/>
                <w:sz w:val="24"/>
                <w:szCs w:val="24"/>
              </w:rPr>
              <w:t>The second proposal is made as a compromise. If DSD for some reason wishes to</w:t>
            </w:r>
            <w:r>
              <w:rPr>
                <w:rFonts w:cs="Times New Roman"/>
                <w:sz w:val="24"/>
                <w:szCs w:val="24"/>
              </w:rPr>
              <w:t xml:space="preserve"> amend the Policy and</w:t>
            </w:r>
            <w:r w:rsidRPr="00C86383">
              <w:rPr>
                <w:rFonts w:cs="Times New Roman"/>
                <w:sz w:val="24"/>
                <w:szCs w:val="24"/>
              </w:rPr>
              <w:t xml:space="preserve"> limit those who may bring such applications, then it can be limited to unmarried fathers and other relatives of the child. </w:t>
            </w:r>
          </w:p>
        </w:tc>
      </w:tr>
      <w:tr w:rsidR="00E21CED" w:rsidRPr="00DE1D6A" w14:paraId="59305BC9" w14:textId="77777777" w:rsidTr="00E21CED">
        <w:trPr>
          <w:trHeight w:val="331"/>
        </w:trPr>
        <w:tc>
          <w:tcPr>
            <w:tcW w:w="2235" w:type="dxa"/>
          </w:tcPr>
          <w:p w14:paraId="733A0A18" w14:textId="71509FF0" w:rsidR="00E21CED" w:rsidRPr="00C86383" w:rsidRDefault="00E21CED" w:rsidP="00E21CED">
            <w:pPr>
              <w:spacing w:line="360" w:lineRule="auto"/>
              <w:jc w:val="both"/>
              <w:rPr>
                <w:rFonts w:cs="Times New Roman"/>
                <w:bCs/>
                <w:sz w:val="24"/>
                <w:szCs w:val="24"/>
              </w:rPr>
            </w:pPr>
            <w:r w:rsidRPr="00C86383">
              <w:rPr>
                <w:rFonts w:cs="Times New Roman"/>
                <w:b/>
                <w:sz w:val="24"/>
                <w:szCs w:val="24"/>
              </w:rPr>
              <w:lastRenderedPageBreak/>
              <w:t xml:space="preserve">Clause </w:t>
            </w:r>
          </w:p>
        </w:tc>
        <w:tc>
          <w:tcPr>
            <w:tcW w:w="3118" w:type="dxa"/>
          </w:tcPr>
          <w:p w14:paraId="14A23022" w14:textId="5EE9C6C5" w:rsidR="00E21CED" w:rsidRPr="00C86383" w:rsidRDefault="00E21CED" w:rsidP="00E21CED">
            <w:pPr>
              <w:spacing w:line="360" w:lineRule="auto"/>
              <w:jc w:val="both"/>
              <w:rPr>
                <w:rFonts w:cs="Times New Roman"/>
                <w:sz w:val="24"/>
                <w:szCs w:val="24"/>
              </w:rPr>
            </w:pPr>
            <w:r w:rsidRPr="00C86383">
              <w:rPr>
                <w:rFonts w:cs="Times New Roman"/>
                <w:b/>
                <w:sz w:val="24"/>
                <w:szCs w:val="24"/>
              </w:rPr>
              <w:t>Proposal</w:t>
            </w:r>
          </w:p>
        </w:tc>
        <w:tc>
          <w:tcPr>
            <w:tcW w:w="3663" w:type="dxa"/>
          </w:tcPr>
          <w:p w14:paraId="2D1D541B" w14:textId="497B6B74" w:rsidR="00E21CED" w:rsidRDefault="00E21CED" w:rsidP="00E21CED">
            <w:pPr>
              <w:spacing w:line="360" w:lineRule="auto"/>
              <w:jc w:val="both"/>
              <w:rPr>
                <w:rFonts w:cs="Times New Roman"/>
                <w:sz w:val="24"/>
                <w:szCs w:val="24"/>
              </w:rPr>
            </w:pPr>
            <w:r w:rsidRPr="00C86383">
              <w:rPr>
                <w:rFonts w:cs="Times New Roman"/>
                <w:b/>
                <w:sz w:val="24"/>
                <w:szCs w:val="24"/>
              </w:rPr>
              <w:t>Motivation</w:t>
            </w:r>
          </w:p>
        </w:tc>
      </w:tr>
      <w:tr w:rsidR="00E21CED" w:rsidRPr="00DE1D6A" w14:paraId="453E82F8" w14:textId="77777777" w:rsidTr="00E21CED">
        <w:tc>
          <w:tcPr>
            <w:tcW w:w="2235" w:type="dxa"/>
          </w:tcPr>
          <w:p w14:paraId="0756B05C" w14:textId="49A226CD" w:rsidR="00E21CED" w:rsidRPr="00F20D7D" w:rsidRDefault="00E21CED" w:rsidP="00E21CED">
            <w:pPr>
              <w:spacing w:line="360" w:lineRule="auto"/>
              <w:jc w:val="both"/>
              <w:rPr>
                <w:rFonts w:cs="Times New Roman"/>
                <w:bCs/>
                <w:sz w:val="24"/>
                <w:szCs w:val="24"/>
              </w:rPr>
            </w:pPr>
            <w:r w:rsidRPr="00B32EDD">
              <w:rPr>
                <w:rFonts w:cs="Arial"/>
                <w:sz w:val="24"/>
                <w:szCs w:val="24"/>
              </w:rPr>
              <w:t>Section 24 – Assignment of guardianship by court order</w:t>
            </w:r>
          </w:p>
        </w:tc>
        <w:tc>
          <w:tcPr>
            <w:tcW w:w="3118" w:type="dxa"/>
          </w:tcPr>
          <w:p w14:paraId="23B87DAF" w14:textId="6CB76481" w:rsidR="00E21CED" w:rsidRPr="00F20D7D" w:rsidRDefault="00E21CED" w:rsidP="00E21CED">
            <w:pPr>
              <w:spacing w:line="360" w:lineRule="auto"/>
              <w:jc w:val="both"/>
              <w:rPr>
                <w:rFonts w:cs="Times New Roman"/>
                <w:sz w:val="24"/>
                <w:szCs w:val="24"/>
              </w:rPr>
            </w:pPr>
            <w:r>
              <w:rPr>
                <w:rFonts w:cs="Arial"/>
                <w:sz w:val="24"/>
                <w:szCs w:val="24"/>
              </w:rPr>
              <w:t xml:space="preserve">‘(1) Any person having an interest in the care, well-being and development of a child may apply to the High Court </w:t>
            </w:r>
            <w:r w:rsidRPr="00F13AE9">
              <w:rPr>
                <w:rFonts w:cs="Arial"/>
                <w:sz w:val="24"/>
                <w:szCs w:val="24"/>
                <w:u w:val="single"/>
              </w:rPr>
              <w:t>or the Children’s Court</w:t>
            </w:r>
            <w:r>
              <w:rPr>
                <w:rFonts w:cs="Arial"/>
                <w:sz w:val="24"/>
                <w:szCs w:val="24"/>
              </w:rPr>
              <w:t xml:space="preserve"> for an order granting guardianship of the child to the applicant.’</w:t>
            </w:r>
          </w:p>
        </w:tc>
        <w:tc>
          <w:tcPr>
            <w:tcW w:w="3663" w:type="dxa"/>
          </w:tcPr>
          <w:p w14:paraId="77BA6841" w14:textId="5297A77E" w:rsidR="00E21CED" w:rsidRPr="00F20D7D" w:rsidDel="00F83E3A" w:rsidRDefault="00E21CED" w:rsidP="00E21CED">
            <w:pPr>
              <w:spacing w:line="360" w:lineRule="auto"/>
              <w:jc w:val="both"/>
              <w:rPr>
                <w:rFonts w:cs="Times New Roman"/>
                <w:sz w:val="24"/>
                <w:szCs w:val="24"/>
              </w:rPr>
            </w:pPr>
            <w:r w:rsidRPr="00B32EDD">
              <w:rPr>
                <w:rFonts w:cs="Arial"/>
                <w:sz w:val="24"/>
                <w:szCs w:val="24"/>
              </w:rPr>
              <w:t xml:space="preserve">The Children’s Court is well versed in family law and child care matters, and is an expert on adoption – which has more wide ranging implications than guardianship applications. Making guardianship applications accessible at the Children’s Court will increase access to justice for the majority of people and enable caregivers to administer and protect the pensions inherited by the children in their care.  Many of these pensions go unclaimed due </w:t>
            </w:r>
            <w:r w:rsidRPr="00B32EDD">
              <w:rPr>
                <w:rFonts w:cs="Arial"/>
                <w:sz w:val="24"/>
                <w:szCs w:val="24"/>
              </w:rPr>
              <w:lastRenderedPageBreak/>
              <w:t>to there being no-one representing the child’s interests.</w:t>
            </w:r>
            <w:r>
              <w:rPr>
                <w:rFonts w:cs="Arial"/>
                <w:sz w:val="24"/>
                <w:szCs w:val="24"/>
              </w:rPr>
              <w:t xml:space="preserve"> Reserving guardianship for the High Court exclusively would only be in the interests of the more wealthy who have the necessary income to use High Court processes.</w:t>
            </w:r>
          </w:p>
        </w:tc>
      </w:tr>
    </w:tbl>
    <w:p w14:paraId="668C30EA" w14:textId="2B3D5CF2" w:rsidR="00112F44" w:rsidRPr="00C86383" w:rsidRDefault="00112F44" w:rsidP="00C86383">
      <w:pPr>
        <w:spacing w:line="360" w:lineRule="auto"/>
        <w:jc w:val="both"/>
        <w:rPr>
          <w:rFonts w:cs="Times New Roman"/>
          <w:sz w:val="24"/>
          <w:szCs w:val="24"/>
        </w:rPr>
      </w:pPr>
    </w:p>
    <w:bookmarkEnd w:id="0"/>
    <w:p w14:paraId="6C2384E1" w14:textId="4A6A52CC" w:rsidR="00112F44" w:rsidRPr="00C86383" w:rsidRDefault="00C80908" w:rsidP="00C86383">
      <w:pPr>
        <w:pStyle w:val="Heading2"/>
        <w:spacing w:line="360" w:lineRule="auto"/>
        <w:jc w:val="both"/>
        <w:rPr>
          <w:rFonts w:asciiTheme="minorHAnsi" w:hAnsiTheme="minorHAnsi" w:cs="Times New Roman"/>
          <w:sz w:val="24"/>
          <w:szCs w:val="24"/>
        </w:rPr>
      </w:pPr>
      <w:r w:rsidRPr="00C86383">
        <w:rPr>
          <w:rFonts w:asciiTheme="minorHAnsi" w:hAnsiTheme="minorHAnsi" w:cs="Times New Roman"/>
          <w:sz w:val="24"/>
          <w:szCs w:val="24"/>
        </w:rPr>
        <w:t>Supporting arguments</w:t>
      </w:r>
    </w:p>
    <w:p w14:paraId="1BF5496C" w14:textId="7C662FDA" w:rsidR="001821EC" w:rsidRPr="00C86383" w:rsidRDefault="000D7E2F" w:rsidP="00C86383">
      <w:pPr>
        <w:spacing w:line="360" w:lineRule="auto"/>
        <w:jc w:val="both"/>
        <w:rPr>
          <w:rFonts w:cs="Times New Roman"/>
          <w:sz w:val="24"/>
          <w:szCs w:val="24"/>
        </w:rPr>
      </w:pPr>
      <w:r w:rsidRPr="00C86383">
        <w:rPr>
          <w:rFonts w:cs="Times New Roman"/>
          <w:sz w:val="24"/>
          <w:szCs w:val="24"/>
        </w:rPr>
        <w:t xml:space="preserve">The </w:t>
      </w:r>
      <w:r w:rsidR="00923699" w:rsidRPr="00C86383">
        <w:rPr>
          <w:rFonts w:cs="Times New Roman"/>
          <w:sz w:val="24"/>
          <w:szCs w:val="24"/>
        </w:rPr>
        <w:t xml:space="preserve">original intention of amending section 45 was to allow easier access to guardianship, particularly for relatives caring for children. We are therefore disappointed to see that the </w:t>
      </w:r>
      <w:r w:rsidRPr="00C86383">
        <w:rPr>
          <w:rFonts w:cs="Times New Roman"/>
          <w:sz w:val="24"/>
          <w:szCs w:val="24"/>
        </w:rPr>
        <w:t xml:space="preserve">amendment to enable the Children’s Court to have jurisdiction in relation to guardianship </w:t>
      </w:r>
      <w:r w:rsidR="00923699" w:rsidRPr="00C86383">
        <w:rPr>
          <w:rFonts w:cs="Times New Roman"/>
          <w:sz w:val="24"/>
          <w:szCs w:val="24"/>
        </w:rPr>
        <w:t xml:space="preserve">is </w:t>
      </w:r>
      <w:r w:rsidRPr="00C86383">
        <w:rPr>
          <w:rFonts w:cs="Times New Roman"/>
          <w:sz w:val="24"/>
          <w:szCs w:val="24"/>
        </w:rPr>
        <w:t>limited to orph</w:t>
      </w:r>
      <w:r w:rsidR="00923699" w:rsidRPr="00C86383">
        <w:rPr>
          <w:rFonts w:cs="Times New Roman"/>
          <w:sz w:val="24"/>
          <w:szCs w:val="24"/>
        </w:rPr>
        <w:t>aned and abandoned children only</w:t>
      </w:r>
      <w:r w:rsidRPr="00C86383">
        <w:rPr>
          <w:rFonts w:cs="Times New Roman"/>
          <w:sz w:val="24"/>
          <w:szCs w:val="24"/>
        </w:rPr>
        <w:t xml:space="preserve">.  The section should provide for all matters in relation to guardianship.  There should be a holistic approach to parental responsibilities and rights and the splitting of the jurisdiction is creating problems on the </w:t>
      </w:r>
      <w:r w:rsidR="00FD2568" w:rsidRPr="00C86383">
        <w:rPr>
          <w:rFonts w:cs="Times New Roman"/>
          <w:sz w:val="24"/>
          <w:szCs w:val="24"/>
        </w:rPr>
        <w:t>ground and has no real rationale. Furthermore, this limitation (to abandoned or orphaned children) is particularly problematic when read together with the new definition of orphan as included in this Bill. If that clause survives, then ‘orphan’ is a child who</w:t>
      </w:r>
      <w:r w:rsidR="00686622">
        <w:rPr>
          <w:rFonts w:cs="Times New Roman"/>
          <w:sz w:val="24"/>
          <w:szCs w:val="24"/>
        </w:rPr>
        <w:t>se biological or adoptive</w:t>
      </w:r>
      <w:r w:rsidR="00FD2568" w:rsidRPr="00C86383">
        <w:rPr>
          <w:rFonts w:cs="Times New Roman"/>
          <w:sz w:val="24"/>
          <w:szCs w:val="24"/>
        </w:rPr>
        <w:t xml:space="preserve"> parents are dead (both of them). </w:t>
      </w:r>
    </w:p>
    <w:p w14:paraId="54F9BCA8" w14:textId="13AAD68B" w:rsidR="00FD2568" w:rsidRPr="00C86383" w:rsidRDefault="00FD2568" w:rsidP="00C86383">
      <w:pPr>
        <w:spacing w:line="360" w:lineRule="auto"/>
        <w:jc w:val="both"/>
        <w:rPr>
          <w:rFonts w:cs="Times New Roman"/>
          <w:sz w:val="24"/>
          <w:szCs w:val="24"/>
        </w:rPr>
      </w:pPr>
      <w:r w:rsidRPr="00C86383">
        <w:rPr>
          <w:rFonts w:cs="Times New Roman"/>
          <w:sz w:val="24"/>
          <w:szCs w:val="24"/>
        </w:rPr>
        <w:t>Therefore, consider the following difficult situation:</w:t>
      </w:r>
    </w:p>
    <w:p w14:paraId="4E725DA3" w14:textId="61645FE0" w:rsidR="00FD2568" w:rsidRPr="00C86383" w:rsidRDefault="00FD2568" w:rsidP="00C86383">
      <w:pPr>
        <w:spacing w:line="360" w:lineRule="auto"/>
        <w:jc w:val="both"/>
        <w:rPr>
          <w:rFonts w:cs="Times New Roman"/>
          <w:i/>
          <w:sz w:val="24"/>
          <w:szCs w:val="24"/>
        </w:rPr>
      </w:pPr>
      <w:r w:rsidRPr="00C86383">
        <w:rPr>
          <w:rFonts w:cs="Times New Roman"/>
          <w:i/>
          <w:sz w:val="24"/>
          <w:szCs w:val="24"/>
        </w:rPr>
        <w:t xml:space="preserve">A mother dies leaving her two children in the care of her own mother, the children’s maternal grandmother. The grandmother must apply for guardianship </w:t>
      </w:r>
      <w:r w:rsidR="00923699" w:rsidRPr="00C86383">
        <w:rPr>
          <w:rFonts w:cs="Times New Roman"/>
          <w:i/>
          <w:sz w:val="24"/>
          <w:szCs w:val="24"/>
        </w:rPr>
        <w:t xml:space="preserve">so that she can wind </w:t>
      </w:r>
      <w:r w:rsidRPr="00C86383">
        <w:rPr>
          <w:rFonts w:cs="Times New Roman"/>
          <w:i/>
          <w:sz w:val="24"/>
          <w:szCs w:val="24"/>
        </w:rPr>
        <w:t>up the mother’s estate</w:t>
      </w:r>
      <w:r w:rsidR="00923699" w:rsidRPr="00C86383">
        <w:rPr>
          <w:rFonts w:cs="Times New Roman"/>
          <w:i/>
          <w:sz w:val="24"/>
          <w:szCs w:val="24"/>
        </w:rPr>
        <w:t xml:space="preserve">/ or support the child to obtain </w:t>
      </w:r>
      <w:r w:rsidR="00686622">
        <w:rPr>
          <w:rFonts w:cs="Times New Roman"/>
          <w:i/>
          <w:sz w:val="24"/>
          <w:szCs w:val="24"/>
        </w:rPr>
        <w:t>the mother’s pension</w:t>
      </w:r>
      <w:r w:rsidRPr="00C86383">
        <w:rPr>
          <w:rFonts w:cs="Times New Roman"/>
          <w:i/>
          <w:sz w:val="24"/>
          <w:szCs w:val="24"/>
        </w:rPr>
        <w:t>. The father is not deceased, but is not actively involved in caring for the children and/or his whereabouts are unknown.</w:t>
      </w:r>
      <w:r w:rsidR="00686622">
        <w:rPr>
          <w:rFonts w:cs="Times New Roman"/>
          <w:i/>
          <w:sz w:val="24"/>
          <w:szCs w:val="24"/>
        </w:rPr>
        <w:t xml:space="preserve"> The child is therefore not an orphan in terms of the definition in the amendment bill.</w:t>
      </w:r>
      <w:r w:rsidRPr="00C86383">
        <w:rPr>
          <w:rFonts w:cs="Times New Roman"/>
          <w:i/>
          <w:sz w:val="24"/>
          <w:szCs w:val="24"/>
        </w:rPr>
        <w:t xml:space="preserve"> That means the grandmother must apply to the High Court for guardianshi</w:t>
      </w:r>
      <w:r w:rsidR="00923699" w:rsidRPr="00C86383">
        <w:rPr>
          <w:rFonts w:cs="Times New Roman"/>
          <w:i/>
          <w:sz w:val="24"/>
          <w:szCs w:val="24"/>
        </w:rPr>
        <w:t xml:space="preserve">p, a more </w:t>
      </w:r>
      <w:r w:rsidRPr="00C86383">
        <w:rPr>
          <w:rFonts w:cs="Times New Roman"/>
          <w:i/>
          <w:sz w:val="24"/>
          <w:szCs w:val="24"/>
        </w:rPr>
        <w:t xml:space="preserve">onerous </w:t>
      </w:r>
      <w:r w:rsidR="00923699" w:rsidRPr="00C86383">
        <w:rPr>
          <w:rFonts w:cs="Times New Roman"/>
          <w:i/>
          <w:sz w:val="24"/>
          <w:szCs w:val="24"/>
        </w:rPr>
        <w:t xml:space="preserve">and costly </w:t>
      </w:r>
      <w:r w:rsidRPr="00C86383">
        <w:rPr>
          <w:rFonts w:cs="Times New Roman"/>
          <w:i/>
          <w:sz w:val="24"/>
          <w:szCs w:val="24"/>
        </w:rPr>
        <w:t xml:space="preserve">process. </w:t>
      </w:r>
    </w:p>
    <w:p w14:paraId="3DDC21B4" w14:textId="5F0A014F" w:rsidR="00FD2568" w:rsidRPr="00C86383" w:rsidRDefault="00FD2568" w:rsidP="00C86383">
      <w:pPr>
        <w:spacing w:line="360" w:lineRule="auto"/>
        <w:jc w:val="both"/>
        <w:rPr>
          <w:rFonts w:cs="Times New Roman"/>
          <w:sz w:val="24"/>
          <w:szCs w:val="24"/>
        </w:rPr>
      </w:pPr>
      <w:r w:rsidRPr="00C86383">
        <w:rPr>
          <w:rFonts w:cs="Times New Roman"/>
          <w:sz w:val="24"/>
          <w:szCs w:val="24"/>
        </w:rPr>
        <w:t xml:space="preserve">As this is a more common scenario than the scenario of </w:t>
      </w:r>
      <w:r w:rsidRPr="00C86383">
        <w:rPr>
          <w:rFonts w:cs="Times New Roman"/>
          <w:sz w:val="24"/>
          <w:szCs w:val="24"/>
          <w:u w:val="single"/>
        </w:rPr>
        <w:t>both</w:t>
      </w:r>
      <w:r w:rsidRPr="00C86383">
        <w:rPr>
          <w:rFonts w:cs="Times New Roman"/>
          <w:sz w:val="24"/>
          <w:szCs w:val="24"/>
        </w:rPr>
        <w:t xml:space="preserve"> parents being deceased, the amendment to </w:t>
      </w:r>
      <w:r w:rsidR="00923699" w:rsidRPr="00C86383">
        <w:rPr>
          <w:rFonts w:cs="Times New Roman"/>
          <w:sz w:val="24"/>
          <w:szCs w:val="24"/>
        </w:rPr>
        <w:t>section 45 will be of very limited assistance to grandmothers.</w:t>
      </w:r>
      <w:r w:rsidR="00781B07" w:rsidRPr="00C86383">
        <w:rPr>
          <w:rFonts w:cs="Times New Roman"/>
          <w:sz w:val="24"/>
          <w:szCs w:val="24"/>
        </w:rPr>
        <w:t xml:space="preserve"> We therefore urge DSD to make this amendment broader. If the reason for the limited nature of the </w:t>
      </w:r>
      <w:r w:rsidR="00781B07" w:rsidRPr="00C86383">
        <w:rPr>
          <w:rFonts w:cs="Times New Roman"/>
          <w:sz w:val="24"/>
          <w:szCs w:val="24"/>
        </w:rPr>
        <w:lastRenderedPageBreak/>
        <w:t>amendment is because of the risk that persons wishing to get around adoption processes may use this clause, another way to limit it is to ensure that only persons related to the child can use this process.</w:t>
      </w:r>
      <w:bookmarkStart w:id="1" w:name="_Hlk530223624"/>
      <w:r w:rsidR="00781B07" w:rsidRPr="00C86383">
        <w:rPr>
          <w:rFonts w:cs="Times New Roman"/>
          <w:sz w:val="24"/>
          <w:szCs w:val="24"/>
        </w:rPr>
        <w:t xml:space="preserve"> So while we would prefer that the clause simply read as follows:</w:t>
      </w:r>
    </w:p>
    <w:p w14:paraId="1DE12093" w14:textId="501F0EAD" w:rsidR="00781B07" w:rsidRPr="00C86383" w:rsidRDefault="00781B07" w:rsidP="00C86383">
      <w:pPr>
        <w:spacing w:line="360" w:lineRule="auto"/>
        <w:jc w:val="both"/>
        <w:rPr>
          <w:rFonts w:cs="Times New Roman"/>
          <w:sz w:val="24"/>
          <w:szCs w:val="24"/>
        </w:rPr>
      </w:pPr>
      <w:r w:rsidRPr="00C86383">
        <w:rPr>
          <w:rFonts w:cs="Times New Roman"/>
          <w:sz w:val="24"/>
          <w:szCs w:val="24"/>
        </w:rPr>
        <w:t>“(</w:t>
      </w:r>
      <w:r w:rsidRPr="00C86383">
        <w:rPr>
          <w:rFonts w:cs="Times New Roman"/>
          <w:i/>
          <w:sz w:val="24"/>
          <w:szCs w:val="24"/>
        </w:rPr>
        <w:t>bA</w:t>
      </w:r>
      <w:r w:rsidRPr="00C86383">
        <w:rPr>
          <w:rFonts w:cs="Times New Roman"/>
          <w:sz w:val="24"/>
          <w:szCs w:val="24"/>
        </w:rPr>
        <w:t>) guardianship”</w:t>
      </w:r>
    </w:p>
    <w:p w14:paraId="5282D412" w14:textId="29E56DE3" w:rsidR="00781B07" w:rsidRPr="00C86383" w:rsidRDefault="00781B07" w:rsidP="00C86383">
      <w:pPr>
        <w:spacing w:line="360" w:lineRule="auto"/>
        <w:jc w:val="both"/>
        <w:rPr>
          <w:rFonts w:cs="Times New Roman"/>
          <w:sz w:val="24"/>
          <w:szCs w:val="24"/>
        </w:rPr>
      </w:pPr>
      <w:r w:rsidRPr="00C86383">
        <w:rPr>
          <w:rFonts w:cs="Times New Roman"/>
          <w:sz w:val="24"/>
          <w:szCs w:val="24"/>
        </w:rPr>
        <w:t>Another possible formulation is</w:t>
      </w:r>
    </w:p>
    <w:p w14:paraId="61B56B63" w14:textId="52EA8E5B" w:rsidR="00781B07" w:rsidRPr="00C86383" w:rsidRDefault="00781B07" w:rsidP="00C86383">
      <w:pPr>
        <w:spacing w:line="360" w:lineRule="auto"/>
        <w:jc w:val="both"/>
        <w:rPr>
          <w:rFonts w:cs="Times New Roman"/>
          <w:sz w:val="24"/>
          <w:szCs w:val="24"/>
        </w:rPr>
      </w:pPr>
      <w:r w:rsidRPr="00C86383">
        <w:rPr>
          <w:rFonts w:cs="Times New Roman"/>
          <w:sz w:val="24"/>
          <w:szCs w:val="24"/>
        </w:rPr>
        <w:t>“(</w:t>
      </w:r>
      <w:r w:rsidRPr="00C86383">
        <w:rPr>
          <w:rFonts w:cs="Times New Roman"/>
          <w:i/>
          <w:sz w:val="24"/>
          <w:szCs w:val="24"/>
        </w:rPr>
        <w:t>bA</w:t>
      </w:r>
      <w:r w:rsidRPr="00C86383">
        <w:rPr>
          <w:rFonts w:cs="Times New Roman"/>
          <w:sz w:val="24"/>
          <w:szCs w:val="24"/>
        </w:rPr>
        <w:t xml:space="preserve">) guardianship where the application is brought by </w:t>
      </w:r>
      <w:r w:rsidR="002C7C75" w:rsidRPr="00C86383">
        <w:rPr>
          <w:rFonts w:cs="Times New Roman"/>
          <w:sz w:val="24"/>
          <w:szCs w:val="24"/>
        </w:rPr>
        <w:t>the child’s biological father or another</w:t>
      </w:r>
      <w:r w:rsidRPr="00C86383">
        <w:rPr>
          <w:rFonts w:cs="Times New Roman"/>
          <w:sz w:val="24"/>
          <w:szCs w:val="24"/>
        </w:rPr>
        <w:t xml:space="preserve"> </w:t>
      </w:r>
      <w:r w:rsidR="00A85A22">
        <w:rPr>
          <w:rFonts w:cs="Times New Roman"/>
          <w:sz w:val="24"/>
          <w:szCs w:val="24"/>
        </w:rPr>
        <w:t xml:space="preserve">relative </w:t>
      </w:r>
      <w:r w:rsidRPr="00C86383">
        <w:rPr>
          <w:rFonts w:cs="Times New Roman"/>
          <w:sz w:val="24"/>
          <w:szCs w:val="24"/>
        </w:rPr>
        <w:t>of the child”.</w:t>
      </w:r>
    </w:p>
    <w:bookmarkEnd w:id="1"/>
    <w:p w14:paraId="2D123542" w14:textId="58D7AAED" w:rsidR="00112F44" w:rsidRPr="00C86383" w:rsidRDefault="00781B07" w:rsidP="00C86383">
      <w:pPr>
        <w:spacing w:line="360" w:lineRule="auto"/>
        <w:jc w:val="both"/>
        <w:rPr>
          <w:rFonts w:cs="Times New Roman"/>
          <w:sz w:val="24"/>
          <w:szCs w:val="24"/>
        </w:rPr>
      </w:pPr>
      <w:r w:rsidRPr="00C86383">
        <w:rPr>
          <w:rFonts w:cs="Times New Roman"/>
          <w:sz w:val="24"/>
          <w:szCs w:val="24"/>
        </w:rPr>
        <w:t xml:space="preserve">The other category of persons that would be assisted by this clause, besides grandmothers, are those unmarried fathers who do not automatically qualify for parental responsibilities and rights. </w:t>
      </w:r>
    </w:p>
    <w:p w14:paraId="64C52495" w14:textId="7C1D2961" w:rsidR="00112F44" w:rsidRPr="00C86383" w:rsidRDefault="00112F44" w:rsidP="00C86383">
      <w:pPr>
        <w:spacing w:line="360" w:lineRule="auto"/>
        <w:jc w:val="both"/>
        <w:rPr>
          <w:rFonts w:cs="Times New Roman"/>
          <w:sz w:val="24"/>
          <w:szCs w:val="24"/>
        </w:rPr>
      </w:pPr>
      <w:r w:rsidRPr="00C86383">
        <w:rPr>
          <w:rFonts w:cs="Times New Roman"/>
          <w:sz w:val="24"/>
          <w:szCs w:val="24"/>
        </w:rPr>
        <w:t>Consider the following scenario</w:t>
      </w:r>
    </w:p>
    <w:p w14:paraId="09148256" w14:textId="59E7AE84" w:rsidR="00112F44" w:rsidRPr="00C86383" w:rsidRDefault="00112F44" w:rsidP="00C86383">
      <w:pPr>
        <w:spacing w:line="360" w:lineRule="auto"/>
        <w:jc w:val="both"/>
        <w:rPr>
          <w:rFonts w:cs="Times New Roman"/>
          <w:sz w:val="24"/>
          <w:szCs w:val="24"/>
        </w:rPr>
      </w:pPr>
      <w:r w:rsidRPr="00C86383">
        <w:rPr>
          <w:rFonts w:cs="Times New Roman"/>
          <w:i/>
          <w:sz w:val="24"/>
          <w:szCs w:val="24"/>
        </w:rPr>
        <w:t>A and B were in a brief relationship. They were not living together and A did not tell B about the baby. Therefore B, the father, only found out about the child when the child is 2 years old. He wants to have a relationship with the child, but he does not qualify in terms of section 21. Under the current law he can approach the children’s court for contact and aspects of care, but for guardianship he would have approach the High Court</w:t>
      </w:r>
      <w:r w:rsidRPr="00C86383">
        <w:rPr>
          <w:rFonts w:cs="Times New Roman"/>
          <w:sz w:val="24"/>
          <w:szCs w:val="24"/>
        </w:rPr>
        <w:t xml:space="preserve">. </w:t>
      </w:r>
    </w:p>
    <w:p w14:paraId="38A21148" w14:textId="33AE7738" w:rsidR="000D7E2F" w:rsidRDefault="00112F44" w:rsidP="00C86383">
      <w:pPr>
        <w:spacing w:line="360" w:lineRule="auto"/>
        <w:jc w:val="both"/>
        <w:rPr>
          <w:rFonts w:cs="Times New Roman"/>
          <w:sz w:val="24"/>
          <w:szCs w:val="24"/>
        </w:rPr>
      </w:pPr>
      <w:r w:rsidRPr="00C86383">
        <w:rPr>
          <w:rFonts w:cs="Times New Roman"/>
          <w:sz w:val="24"/>
          <w:szCs w:val="24"/>
        </w:rPr>
        <w:t xml:space="preserve">The proposed amendment will block this unmarried father from easy access to the children’s court to obtain guardianship. </w:t>
      </w:r>
      <w:r w:rsidR="00781B07" w:rsidRPr="00C86383">
        <w:rPr>
          <w:rFonts w:cs="Times New Roman"/>
          <w:sz w:val="24"/>
          <w:szCs w:val="24"/>
        </w:rPr>
        <w:t>It is unreasonable to require them to approach the High Court. However</w:t>
      </w:r>
      <w:r w:rsidRPr="00C86383">
        <w:rPr>
          <w:rFonts w:cs="Times New Roman"/>
          <w:sz w:val="24"/>
          <w:szCs w:val="24"/>
        </w:rPr>
        <w:t>,</w:t>
      </w:r>
      <w:r w:rsidR="002C7C75" w:rsidRPr="00C86383">
        <w:rPr>
          <w:rFonts w:cs="Times New Roman"/>
          <w:sz w:val="24"/>
          <w:szCs w:val="24"/>
        </w:rPr>
        <w:t xml:space="preserve"> </w:t>
      </w:r>
      <w:r w:rsidR="00781B07" w:rsidRPr="00C86383">
        <w:rPr>
          <w:rFonts w:cs="Times New Roman"/>
          <w:sz w:val="24"/>
          <w:szCs w:val="24"/>
        </w:rPr>
        <w:t xml:space="preserve">either of the alternative formulations that we propose would not bar the unmarried father from making such an application. The current wording in </w:t>
      </w:r>
      <w:r w:rsidR="00686622">
        <w:rPr>
          <w:rFonts w:cs="Times New Roman"/>
          <w:sz w:val="24"/>
          <w:szCs w:val="24"/>
        </w:rPr>
        <w:t>section 45</w:t>
      </w:r>
      <w:r w:rsidR="00781B07" w:rsidRPr="00C86383">
        <w:rPr>
          <w:rFonts w:cs="Times New Roman"/>
          <w:sz w:val="24"/>
          <w:szCs w:val="24"/>
        </w:rPr>
        <w:t xml:space="preserve"> would do so.</w:t>
      </w:r>
    </w:p>
    <w:p w14:paraId="0B640F28" w14:textId="77777777" w:rsidR="00A85A22" w:rsidRDefault="00A85A22" w:rsidP="00C86383">
      <w:pPr>
        <w:spacing w:line="360" w:lineRule="auto"/>
        <w:jc w:val="both"/>
        <w:rPr>
          <w:rFonts w:cs="Times New Roman"/>
          <w:sz w:val="24"/>
          <w:szCs w:val="24"/>
        </w:rPr>
      </w:pPr>
    </w:p>
    <w:p w14:paraId="36AA7589" w14:textId="18A619B2" w:rsidR="00436BF5" w:rsidRPr="00A85A22" w:rsidRDefault="00436BF5" w:rsidP="00C86383">
      <w:pPr>
        <w:spacing w:line="360" w:lineRule="auto"/>
        <w:jc w:val="both"/>
        <w:rPr>
          <w:rStyle w:val="Heading2Char"/>
          <w:rFonts w:asciiTheme="minorHAnsi" w:hAnsiTheme="minorHAnsi" w:cs="Times New Roman"/>
          <w:b/>
          <w:sz w:val="24"/>
          <w:szCs w:val="24"/>
        </w:rPr>
      </w:pPr>
      <w:r w:rsidRPr="00A85A22">
        <w:rPr>
          <w:rStyle w:val="Heading2Char"/>
          <w:rFonts w:asciiTheme="minorHAnsi" w:hAnsiTheme="minorHAnsi" w:cs="Times New Roman"/>
          <w:b/>
          <w:sz w:val="24"/>
          <w:szCs w:val="24"/>
        </w:rPr>
        <w:t>(2) Privacy issues</w:t>
      </w:r>
      <w:r w:rsidR="00A85A22">
        <w:rPr>
          <w:rStyle w:val="Heading2Char"/>
          <w:rFonts w:asciiTheme="minorHAnsi" w:hAnsiTheme="minorHAnsi" w:cs="Times New Roman"/>
          <w:b/>
          <w:sz w:val="24"/>
          <w:szCs w:val="24"/>
        </w:rPr>
        <w:t xml:space="preserve">   - section 6A &amp; 74</w:t>
      </w:r>
    </w:p>
    <w:p w14:paraId="04FC12E4" w14:textId="608CB05B" w:rsidR="000A7F34" w:rsidRPr="00C86383" w:rsidRDefault="000A7F34" w:rsidP="00C86383">
      <w:pPr>
        <w:spacing w:line="360" w:lineRule="auto"/>
        <w:jc w:val="both"/>
        <w:rPr>
          <w:rFonts w:cs="Times New Roman"/>
          <w:sz w:val="24"/>
          <w:szCs w:val="24"/>
        </w:rPr>
      </w:pPr>
      <w:r w:rsidRPr="00C86383">
        <w:rPr>
          <w:rStyle w:val="Heading2Char"/>
          <w:rFonts w:asciiTheme="minorHAnsi" w:hAnsiTheme="minorHAnsi" w:cs="Times New Roman"/>
          <w:sz w:val="24"/>
          <w:szCs w:val="24"/>
        </w:rPr>
        <w:t>Introduction</w:t>
      </w:r>
    </w:p>
    <w:p w14:paraId="4318E806" w14:textId="045E4E9F" w:rsidR="00781B07" w:rsidRPr="00C86383" w:rsidRDefault="000A7F34" w:rsidP="00C86383">
      <w:pPr>
        <w:spacing w:line="360" w:lineRule="auto"/>
        <w:jc w:val="both"/>
        <w:rPr>
          <w:rFonts w:cs="Times New Roman"/>
          <w:sz w:val="24"/>
          <w:szCs w:val="24"/>
          <w:u w:val="single"/>
        </w:rPr>
      </w:pPr>
      <w:r w:rsidRPr="00C86383">
        <w:rPr>
          <w:rFonts w:cs="Times New Roman"/>
          <w:sz w:val="24"/>
          <w:szCs w:val="24"/>
        </w:rPr>
        <w:t>We are extremely</w:t>
      </w:r>
      <w:r w:rsidR="00781B07" w:rsidRPr="00C86383">
        <w:rPr>
          <w:rFonts w:cs="Times New Roman"/>
          <w:sz w:val="24"/>
          <w:szCs w:val="24"/>
        </w:rPr>
        <w:t xml:space="preserve"> concerned to see that section </w:t>
      </w:r>
      <w:r w:rsidRPr="00C86383">
        <w:rPr>
          <w:rFonts w:cs="Times New Roman"/>
          <w:sz w:val="24"/>
          <w:szCs w:val="24"/>
        </w:rPr>
        <w:t xml:space="preserve">74 is deleted in its entirety and that the new clause in section 6A does not provide for the protection of privacy of children in children’s court proceedings.  We assume that this is simply an oversight. There are two </w:t>
      </w:r>
      <w:r w:rsidRPr="00C86383">
        <w:rPr>
          <w:rFonts w:cs="Times New Roman"/>
          <w:sz w:val="24"/>
          <w:szCs w:val="24"/>
        </w:rPr>
        <w:lastRenderedPageBreak/>
        <w:t>routes to solving this problem, and DSD must take one of these,</w:t>
      </w:r>
      <w:r w:rsidR="00F20D7D">
        <w:rPr>
          <w:rFonts w:cs="Times New Roman"/>
          <w:sz w:val="24"/>
          <w:szCs w:val="24"/>
        </w:rPr>
        <w:t xml:space="preserve"> because</w:t>
      </w:r>
      <w:r w:rsidRPr="00C86383">
        <w:rPr>
          <w:rFonts w:cs="Times New Roman"/>
          <w:sz w:val="24"/>
          <w:szCs w:val="24"/>
        </w:rPr>
        <w:t xml:space="preserve"> </w:t>
      </w:r>
      <w:r w:rsidRPr="00C86383">
        <w:rPr>
          <w:rFonts w:cs="Times New Roman"/>
          <w:sz w:val="24"/>
          <w:szCs w:val="24"/>
          <w:u w:val="single"/>
        </w:rPr>
        <w:t xml:space="preserve">to leave the Bill as it is will leave </w:t>
      </w:r>
      <w:r w:rsidR="000B59C5">
        <w:rPr>
          <w:rFonts w:cs="Times New Roman"/>
          <w:sz w:val="24"/>
          <w:szCs w:val="24"/>
          <w:u w:val="single"/>
        </w:rPr>
        <w:t xml:space="preserve">the identity of </w:t>
      </w:r>
      <w:r w:rsidRPr="00C86383">
        <w:rPr>
          <w:rFonts w:cs="Times New Roman"/>
          <w:sz w:val="24"/>
          <w:szCs w:val="24"/>
          <w:u w:val="single"/>
        </w:rPr>
        <w:t>children</w:t>
      </w:r>
      <w:r w:rsidR="000B59C5">
        <w:rPr>
          <w:rFonts w:cs="Times New Roman"/>
          <w:sz w:val="24"/>
          <w:szCs w:val="24"/>
          <w:u w:val="single"/>
        </w:rPr>
        <w:t xml:space="preserve"> in the children’s court</w:t>
      </w:r>
      <w:r w:rsidRPr="00C86383">
        <w:rPr>
          <w:rFonts w:cs="Times New Roman"/>
          <w:sz w:val="24"/>
          <w:szCs w:val="24"/>
          <w:u w:val="single"/>
        </w:rPr>
        <w:t xml:space="preserve"> unprotected.</w:t>
      </w:r>
    </w:p>
    <w:p w14:paraId="304022B6" w14:textId="3DB15B0B" w:rsidR="000A7F34" w:rsidRPr="00C86383" w:rsidRDefault="000A7F34" w:rsidP="00C86383">
      <w:pPr>
        <w:pStyle w:val="Heading2"/>
        <w:spacing w:line="360" w:lineRule="auto"/>
        <w:jc w:val="both"/>
        <w:rPr>
          <w:rFonts w:asciiTheme="minorHAnsi" w:hAnsiTheme="minorHAnsi" w:cs="Times New Roman"/>
          <w:sz w:val="24"/>
          <w:szCs w:val="24"/>
        </w:rPr>
      </w:pPr>
      <w:r w:rsidRPr="00C86383">
        <w:rPr>
          <w:rFonts w:asciiTheme="minorHAnsi" w:hAnsiTheme="minorHAnsi" w:cs="Times New Roman"/>
          <w:sz w:val="24"/>
          <w:szCs w:val="24"/>
        </w:rPr>
        <w:t>Submission</w:t>
      </w:r>
    </w:p>
    <w:p w14:paraId="099A533F" w14:textId="20153843" w:rsidR="000B59C5" w:rsidRPr="00C86383" w:rsidRDefault="00A85A22" w:rsidP="000B59C5">
      <w:pPr>
        <w:spacing w:line="360" w:lineRule="auto"/>
        <w:jc w:val="both"/>
        <w:rPr>
          <w:sz w:val="24"/>
          <w:szCs w:val="24"/>
        </w:rPr>
      </w:pPr>
      <w:r>
        <w:rPr>
          <w:rFonts w:cs="Times New Roman"/>
          <w:sz w:val="24"/>
          <w:szCs w:val="24"/>
        </w:rPr>
        <w:t>Proposal A: Do not delete the current section 74</w:t>
      </w:r>
      <w:r w:rsidR="000B59C5">
        <w:rPr>
          <w:rFonts w:cs="Times New Roman"/>
          <w:sz w:val="24"/>
          <w:szCs w:val="24"/>
        </w:rPr>
        <w:t xml:space="preserve"> </w:t>
      </w:r>
    </w:p>
    <w:p w14:paraId="445CD804" w14:textId="7EB028CF" w:rsidR="000A7F34" w:rsidRPr="00C86383" w:rsidRDefault="000A7F34" w:rsidP="00C86383">
      <w:pPr>
        <w:spacing w:line="360" w:lineRule="auto"/>
        <w:jc w:val="both"/>
        <w:rPr>
          <w:rFonts w:cs="Times New Roman"/>
          <w:sz w:val="24"/>
          <w:szCs w:val="24"/>
        </w:rPr>
      </w:pPr>
      <w:r w:rsidRPr="00C86383">
        <w:rPr>
          <w:rFonts w:cs="Times New Roman"/>
          <w:sz w:val="24"/>
          <w:szCs w:val="24"/>
        </w:rPr>
        <w:t>Proposal B: Section 74 may be deleted if the current section 6A is deleted and replaced with the following wording:</w:t>
      </w:r>
    </w:p>
    <w:p w14:paraId="6CD8D680" w14:textId="77777777" w:rsidR="00AA54EF" w:rsidRPr="00C86383" w:rsidRDefault="00AA54EF" w:rsidP="00D96806">
      <w:pPr>
        <w:pStyle w:val="Level-Iblue"/>
        <w:tabs>
          <w:tab w:val="clear" w:pos="578"/>
        </w:tabs>
        <w:spacing w:line="360" w:lineRule="auto"/>
        <w:ind w:left="567" w:firstLine="426"/>
        <w:jc w:val="both"/>
        <w:rPr>
          <w:rFonts w:asciiTheme="minorHAnsi" w:hAnsiTheme="minorHAnsi"/>
          <w:b w:val="0"/>
          <w:color w:val="auto"/>
          <w:u w:val="single"/>
        </w:rPr>
      </w:pPr>
      <w:r w:rsidRPr="00C86383">
        <w:rPr>
          <w:rFonts w:asciiTheme="minorHAnsi" w:hAnsiTheme="minorHAnsi"/>
          <w:b w:val="0"/>
          <w:color w:val="auto"/>
          <w:u w:val="single"/>
        </w:rPr>
        <w:t xml:space="preserve">(1) No person may, without the permission of a court, in any manner publish any information, including any image, or picture which reveals or may reveal the name or identity of a child who is or was a party or a witness in the proceedings of any court or who is or was subject to an order of any court: Provided that a person may waive, in writing, the protection of his or her privacy as contemplated in this section upon reaching the age of 18 years.”. </w:t>
      </w:r>
    </w:p>
    <w:p w14:paraId="55A9E8E1" w14:textId="77777777" w:rsidR="00AA54EF" w:rsidRPr="00C86383" w:rsidRDefault="00AA54EF" w:rsidP="00B44385">
      <w:pPr>
        <w:pStyle w:val="Level-Iblue"/>
        <w:tabs>
          <w:tab w:val="clear" w:pos="578"/>
        </w:tabs>
        <w:spacing w:line="360" w:lineRule="auto"/>
        <w:ind w:left="567" w:firstLine="426"/>
        <w:jc w:val="both"/>
        <w:rPr>
          <w:rFonts w:asciiTheme="minorHAnsi" w:hAnsiTheme="minorHAnsi"/>
          <w:b w:val="0"/>
          <w:color w:val="auto"/>
        </w:rPr>
      </w:pPr>
      <w:r w:rsidRPr="00C86383">
        <w:rPr>
          <w:rFonts w:asciiTheme="minorHAnsi" w:hAnsiTheme="minorHAnsi"/>
          <w:b w:val="0"/>
          <w:color w:val="auto"/>
          <w:u w:val="single"/>
        </w:rPr>
        <w:t xml:space="preserve">(2)Notwithstanding subsection (1) a designated social worker </w:t>
      </w:r>
    </w:p>
    <w:p w14:paraId="7257EDA8" w14:textId="77777777" w:rsidR="00AA54EF" w:rsidRPr="00C86383" w:rsidRDefault="00AA54EF" w:rsidP="00B44385">
      <w:pPr>
        <w:spacing w:after="0" w:line="360" w:lineRule="auto"/>
        <w:ind w:left="567" w:firstLine="426"/>
        <w:jc w:val="both"/>
        <w:rPr>
          <w:rFonts w:cs="Times New Roman"/>
          <w:sz w:val="24"/>
          <w:szCs w:val="24"/>
          <w:u w:val="single"/>
        </w:rPr>
      </w:pPr>
      <w:r w:rsidRPr="00C86383">
        <w:rPr>
          <w:rFonts w:cs="Times New Roman"/>
          <w:sz w:val="24"/>
          <w:szCs w:val="24"/>
          <w:u w:val="single"/>
        </w:rPr>
        <w:t>conducting an investigation for the purposes of finding that a child may be in need of care and protection or that such child may be made available for adoption  publish information for identification of the child including images or pictures of the child in the prescribed manner, for the purpose of tracing the child’s parent(s) or family.”.</w:t>
      </w:r>
    </w:p>
    <w:p w14:paraId="5F17A1D6" w14:textId="0DB75289" w:rsidR="000D4A27" w:rsidRDefault="000D4A27" w:rsidP="00C86383">
      <w:pPr>
        <w:spacing w:line="360" w:lineRule="auto"/>
        <w:jc w:val="both"/>
        <w:rPr>
          <w:rFonts w:cs="Times New Roman"/>
          <w:sz w:val="24"/>
          <w:szCs w:val="24"/>
        </w:rPr>
      </w:pPr>
    </w:p>
    <w:p w14:paraId="7C52C9CA" w14:textId="77777777" w:rsidR="00D3132A" w:rsidRDefault="00D3132A" w:rsidP="00C86383">
      <w:pPr>
        <w:spacing w:line="360" w:lineRule="auto"/>
        <w:jc w:val="both"/>
        <w:rPr>
          <w:rFonts w:cs="Times New Roman"/>
          <w:sz w:val="24"/>
          <w:szCs w:val="24"/>
        </w:rPr>
      </w:pPr>
    </w:p>
    <w:p w14:paraId="0F1447D1" w14:textId="77777777" w:rsidR="00D3132A" w:rsidRDefault="00D3132A" w:rsidP="00C86383">
      <w:pPr>
        <w:spacing w:line="360" w:lineRule="auto"/>
        <w:jc w:val="both"/>
        <w:rPr>
          <w:rFonts w:cs="Times New Roman"/>
          <w:sz w:val="24"/>
          <w:szCs w:val="24"/>
        </w:rPr>
      </w:pPr>
    </w:p>
    <w:p w14:paraId="1813D31A" w14:textId="77777777" w:rsidR="00D3132A" w:rsidRDefault="00D3132A" w:rsidP="00C86383">
      <w:pPr>
        <w:spacing w:line="360" w:lineRule="auto"/>
        <w:jc w:val="both"/>
        <w:rPr>
          <w:rFonts w:cs="Times New Roman"/>
          <w:sz w:val="24"/>
          <w:szCs w:val="24"/>
        </w:rPr>
      </w:pPr>
    </w:p>
    <w:p w14:paraId="4B964C6F" w14:textId="77777777" w:rsidR="00D3132A" w:rsidRDefault="00D3132A" w:rsidP="00C86383">
      <w:pPr>
        <w:spacing w:line="360" w:lineRule="auto"/>
        <w:jc w:val="both"/>
        <w:rPr>
          <w:rFonts w:cs="Times New Roman"/>
          <w:sz w:val="24"/>
          <w:szCs w:val="24"/>
        </w:rPr>
      </w:pPr>
    </w:p>
    <w:p w14:paraId="5FFF1CCF" w14:textId="77777777" w:rsidR="00D3132A" w:rsidRDefault="00D3132A" w:rsidP="00C86383">
      <w:pPr>
        <w:spacing w:line="360" w:lineRule="auto"/>
        <w:jc w:val="both"/>
        <w:rPr>
          <w:rFonts w:cs="Times New Roman"/>
          <w:sz w:val="24"/>
          <w:szCs w:val="24"/>
        </w:rPr>
      </w:pPr>
    </w:p>
    <w:p w14:paraId="59010CE9" w14:textId="77777777" w:rsidR="00D3132A" w:rsidRDefault="00D3132A" w:rsidP="00C86383">
      <w:pPr>
        <w:spacing w:line="360" w:lineRule="auto"/>
        <w:jc w:val="both"/>
        <w:rPr>
          <w:rFonts w:cs="Times New Roman"/>
          <w:sz w:val="24"/>
          <w:szCs w:val="24"/>
        </w:rPr>
      </w:pPr>
    </w:p>
    <w:p w14:paraId="18592D13" w14:textId="77777777" w:rsidR="00D3132A" w:rsidRDefault="00D3132A" w:rsidP="00C86383">
      <w:pPr>
        <w:spacing w:line="360" w:lineRule="auto"/>
        <w:jc w:val="both"/>
        <w:rPr>
          <w:rFonts w:cs="Times New Roman"/>
          <w:sz w:val="24"/>
          <w:szCs w:val="24"/>
        </w:rPr>
      </w:pPr>
    </w:p>
    <w:p w14:paraId="3022F0FE" w14:textId="77777777" w:rsidR="00D3132A" w:rsidRDefault="00D3132A" w:rsidP="00C86383">
      <w:pPr>
        <w:spacing w:line="360" w:lineRule="auto"/>
        <w:jc w:val="both"/>
        <w:rPr>
          <w:rFonts w:cs="Times New Roman"/>
          <w:sz w:val="24"/>
          <w:szCs w:val="24"/>
        </w:rPr>
      </w:pPr>
    </w:p>
    <w:p w14:paraId="478417DD" w14:textId="77777777" w:rsidR="00D3132A" w:rsidRPr="00C86383" w:rsidRDefault="00D3132A" w:rsidP="00C86383">
      <w:pPr>
        <w:spacing w:line="360" w:lineRule="auto"/>
        <w:jc w:val="both"/>
        <w:rPr>
          <w:rFonts w:cs="Times New Roman"/>
          <w:sz w:val="24"/>
          <w:szCs w:val="24"/>
        </w:rPr>
      </w:pPr>
    </w:p>
    <w:tbl>
      <w:tblPr>
        <w:tblStyle w:val="TableGrid"/>
        <w:tblW w:w="0" w:type="auto"/>
        <w:tblLook w:val="04A0" w:firstRow="1" w:lastRow="0" w:firstColumn="1" w:lastColumn="0" w:noHBand="0" w:noVBand="1"/>
      </w:tblPr>
      <w:tblGrid>
        <w:gridCol w:w="2122"/>
        <w:gridCol w:w="3963"/>
        <w:gridCol w:w="2931"/>
      </w:tblGrid>
      <w:tr w:rsidR="000D4A27" w:rsidRPr="00DE1D6A" w14:paraId="1C61A8EE" w14:textId="77777777" w:rsidTr="00AA54EF">
        <w:tc>
          <w:tcPr>
            <w:tcW w:w="2122" w:type="dxa"/>
          </w:tcPr>
          <w:p w14:paraId="28A88415" w14:textId="691C1896" w:rsidR="000D4A27" w:rsidRPr="00C86383" w:rsidRDefault="000D4A27" w:rsidP="00A85A22">
            <w:pPr>
              <w:spacing w:line="360" w:lineRule="auto"/>
              <w:jc w:val="both"/>
              <w:rPr>
                <w:rFonts w:cs="Times New Roman"/>
                <w:b/>
                <w:sz w:val="24"/>
                <w:szCs w:val="24"/>
              </w:rPr>
            </w:pPr>
            <w:r w:rsidRPr="00C86383">
              <w:rPr>
                <w:rFonts w:cs="Times New Roman"/>
                <w:b/>
                <w:sz w:val="24"/>
                <w:szCs w:val="24"/>
              </w:rPr>
              <w:lastRenderedPageBreak/>
              <w:t xml:space="preserve">Clause </w:t>
            </w:r>
          </w:p>
        </w:tc>
        <w:tc>
          <w:tcPr>
            <w:tcW w:w="3963" w:type="dxa"/>
          </w:tcPr>
          <w:p w14:paraId="63DFDE56" w14:textId="77777777" w:rsidR="000D4A27" w:rsidRPr="00C86383" w:rsidRDefault="000D4A27" w:rsidP="00C86383">
            <w:pPr>
              <w:spacing w:line="360" w:lineRule="auto"/>
              <w:jc w:val="both"/>
              <w:rPr>
                <w:rFonts w:cs="Times New Roman"/>
                <w:b/>
                <w:sz w:val="24"/>
                <w:szCs w:val="24"/>
              </w:rPr>
            </w:pPr>
            <w:r w:rsidRPr="00C86383">
              <w:rPr>
                <w:rFonts w:cs="Times New Roman"/>
                <w:b/>
                <w:sz w:val="24"/>
                <w:szCs w:val="24"/>
              </w:rPr>
              <w:t>Proposal</w:t>
            </w:r>
          </w:p>
        </w:tc>
        <w:tc>
          <w:tcPr>
            <w:tcW w:w="2931" w:type="dxa"/>
          </w:tcPr>
          <w:p w14:paraId="1E6178BD" w14:textId="77777777" w:rsidR="000D4A27" w:rsidRPr="00C86383" w:rsidRDefault="000D4A27" w:rsidP="00C86383">
            <w:pPr>
              <w:spacing w:line="360" w:lineRule="auto"/>
              <w:jc w:val="both"/>
              <w:rPr>
                <w:rFonts w:cs="Times New Roman"/>
                <w:b/>
                <w:sz w:val="24"/>
                <w:szCs w:val="24"/>
              </w:rPr>
            </w:pPr>
            <w:r w:rsidRPr="00C86383">
              <w:rPr>
                <w:rFonts w:cs="Times New Roman"/>
                <w:b/>
                <w:sz w:val="24"/>
                <w:szCs w:val="24"/>
              </w:rPr>
              <w:t>Motivation</w:t>
            </w:r>
          </w:p>
        </w:tc>
      </w:tr>
      <w:tr w:rsidR="000D4A27" w:rsidRPr="00DE1D6A" w14:paraId="30B500F2" w14:textId="77777777" w:rsidTr="00AA54EF">
        <w:tc>
          <w:tcPr>
            <w:tcW w:w="2122" w:type="dxa"/>
          </w:tcPr>
          <w:p w14:paraId="699A63C3" w14:textId="73785FD9" w:rsidR="000D4A27" w:rsidRPr="00C86383" w:rsidRDefault="00A85A22" w:rsidP="00C86383">
            <w:pPr>
              <w:spacing w:line="360" w:lineRule="auto"/>
              <w:jc w:val="both"/>
              <w:rPr>
                <w:rFonts w:cs="Times New Roman"/>
                <w:b/>
                <w:sz w:val="24"/>
                <w:szCs w:val="24"/>
              </w:rPr>
            </w:pPr>
            <w:r>
              <w:rPr>
                <w:rFonts w:cs="Times New Roman"/>
                <w:b/>
                <w:sz w:val="24"/>
                <w:szCs w:val="24"/>
              </w:rPr>
              <w:t>New s</w:t>
            </w:r>
            <w:r w:rsidR="000D4A27" w:rsidRPr="00C86383">
              <w:rPr>
                <w:rFonts w:cs="Times New Roman"/>
                <w:b/>
                <w:sz w:val="24"/>
                <w:szCs w:val="24"/>
              </w:rPr>
              <w:t>ection 6A</w:t>
            </w:r>
          </w:p>
        </w:tc>
        <w:tc>
          <w:tcPr>
            <w:tcW w:w="3963" w:type="dxa"/>
          </w:tcPr>
          <w:p w14:paraId="5F28432A" w14:textId="6C020350" w:rsidR="00AA54EF" w:rsidRDefault="00AA54EF" w:rsidP="00C86383">
            <w:pPr>
              <w:spacing w:line="360" w:lineRule="auto"/>
              <w:jc w:val="both"/>
              <w:rPr>
                <w:rFonts w:cs="Times New Roman"/>
                <w:sz w:val="24"/>
                <w:szCs w:val="24"/>
              </w:rPr>
            </w:pPr>
            <w:r w:rsidRPr="00C86383">
              <w:rPr>
                <w:rFonts w:cs="Times New Roman"/>
                <w:sz w:val="24"/>
                <w:szCs w:val="24"/>
              </w:rPr>
              <w:t>Proposal A</w:t>
            </w:r>
            <w:r w:rsidR="000F6761">
              <w:rPr>
                <w:rFonts w:cs="Times New Roman"/>
                <w:sz w:val="24"/>
                <w:szCs w:val="24"/>
              </w:rPr>
              <w:t>:</w:t>
            </w:r>
            <w:r w:rsidR="000B59C5">
              <w:rPr>
                <w:rFonts w:cs="Times New Roman"/>
                <w:sz w:val="24"/>
                <w:szCs w:val="24"/>
              </w:rPr>
              <w:t xml:space="preserve"> </w:t>
            </w:r>
            <w:r w:rsidR="00A85A22">
              <w:rPr>
                <w:rFonts w:cs="Times New Roman"/>
                <w:sz w:val="24"/>
                <w:szCs w:val="24"/>
              </w:rPr>
              <w:t>Do not delete section 74</w:t>
            </w:r>
          </w:p>
          <w:p w14:paraId="344E1120" w14:textId="5D540BBA" w:rsidR="000B59C5" w:rsidRPr="00D3132A" w:rsidRDefault="00D3132A" w:rsidP="00C86383">
            <w:pPr>
              <w:spacing w:line="360" w:lineRule="auto"/>
              <w:jc w:val="both"/>
              <w:rPr>
                <w:rFonts w:cs="Times New Roman"/>
                <w:sz w:val="24"/>
                <w:szCs w:val="24"/>
                <w:u w:val="single"/>
              </w:rPr>
            </w:pPr>
            <w:r>
              <w:rPr>
                <w:rFonts w:cs="Times New Roman"/>
                <w:sz w:val="24"/>
                <w:szCs w:val="24"/>
                <w:u w:val="single"/>
              </w:rPr>
              <w:t>a</w:t>
            </w:r>
            <w:r w:rsidR="000B59C5" w:rsidRPr="00D3132A">
              <w:rPr>
                <w:rFonts w:cs="Times New Roman"/>
                <w:sz w:val="24"/>
                <w:szCs w:val="24"/>
                <w:u w:val="single"/>
              </w:rPr>
              <w:t>nd</w:t>
            </w:r>
          </w:p>
          <w:p w14:paraId="426ABFDC" w14:textId="1AB7F3DF" w:rsidR="000B59C5" w:rsidRPr="00C86383" w:rsidRDefault="00A85A22" w:rsidP="000B59C5">
            <w:pPr>
              <w:spacing w:line="360" w:lineRule="auto"/>
              <w:jc w:val="both"/>
              <w:rPr>
                <w:sz w:val="24"/>
                <w:szCs w:val="24"/>
              </w:rPr>
            </w:pPr>
            <w:r>
              <w:rPr>
                <w:rFonts w:cs="Times New Roman"/>
                <w:sz w:val="24"/>
                <w:szCs w:val="24"/>
              </w:rPr>
              <w:t>D</w:t>
            </w:r>
            <w:r w:rsidR="000B59C5">
              <w:rPr>
                <w:rFonts w:cs="Times New Roman"/>
                <w:sz w:val="24"/>
                <w:szCs w:val="24"/>
              </w:rPr>
              <w:t>elete</w:t>
            </w:r>
            <w:r>
              <w:rPr>
                <w:rFonts w:cs="Times New Roman"/>
                <w:sz w:val="24"/>
                <w:szCs w:val="24"/>
              </w:rPr>
              <w:t xml:space="preserve"> </w:t>
            </w:r>
            <w:r>
              <w:rPr>
                <w:sz w:val="24"/>
                <w:szCs w:val="24"/>
              </w:rPr>
              <w:t>proposed s6A</w:t>
            </w:r>
            <w:r w:rsidR="000B59C5">
              <w:rPr>
                <w:sz w:val="24"/>
                <w:szCs w:val="24"/>
              </w:rPr>
              <w:t>.</w:t>
            </w:r>
            <w:r w:rsidR="000B59C5" w:rsidRPr="00C86383">
              <w:rPr>
                <w:sz w:val="24"/>
                <w:szCs w:val="24"/>
              </w:rPr>
              <w:t xml:space="preserve"> </w:t>
            </w:r>
          </w:p>
          <w:p w14:paraId="0A345789" w14:textId="1E3994CA" w:rsidR="000B59C5" w:rsidRPr="00D3132A" w:rsidRDefault="000B59C5" w:rsidP="00C86383">
            <w:pPr>
              <w:spacing w:line="360" w:lineRule="auto"/>
              <w:jc w:val="both"/>
              <w:rPr>
                <w:rFonts w:cs="Times New Roman"/>
                <w:b/>
                <w:sz w:val="24"/>
                <w:szCs w:val="24"/>
              </w:rPr>
            </w:pPr>
            <w:r w:rsidRPr="00D3132A">
              <w:rPr>
                <w:rFonts w:cs="Times New Roman"/>
                <w:b/>
                <w:sz w:val="24"/>
                <w:szCs w:val="24"/>
              </w:rPr>
              <w:t xml:space="preserve">OR </w:t>
            </w:r>
          </w:p>
          <w:p w14:paraId="220DBFB5" w14:textId="4AD6C6C7" w:rsidR="000B59C5" w:rsidRDefault="00D3132A" w:rsidP="00C86383">
            <w:pPr>
              <w:spacing w:line="360" w:lineRule="auto"/>
              <w:jc w:val="both"/>
              <w:rPr>
                <w:rFonts w:cs="Times New Roman"/>
                <w:sz w:val="24"/>
                <w:szCs w:val="24"/>
              </w:rPr>
            </w:pPr>
            <w:r>
              <w:rPr>
                <w:rFonts w:cs="Times New Roman"/>
                <w:sz w:val="24"/>
                <w:szCs w:val="24"/>
              </w:rPr>
              <w:t xml:space="preserve">Delete </w:t>
            </w:r>
            <w:r w:rsidR="000B59C5">
              <w:rPr>
                <w:rFonts w:cs="Times New Roman"/>
                <w:sz w:val="24"/>
                <w:szCs w:val="24"/>
              </w:rPr>
              <w:t xml:space="preserve">section 74 </w:t>
            </w:r>
          </w:p>
          <w:p w14:paraId="4EE3E12A" w14:textId="5C74F3BC" w:rsidR="000B59C5" w:rsidRPr="000B59C5" w:rsidRDefault="000B59C5" w:rsidP="00C86383">
            <w:pPr>
              <w:spacing w:line="360" w:lineRule="auto"/>
              <w:jc w:val="both"/>
              <w:rPr>
                <w:rFonts w:cs="Times New Roman"/>
                <w:sz w:val="24"/>
                <w:szCs w:val="24"/>
                <w:u w:val="single"/>
              </w:rPr>
            </w:pPr>
            <w:r w:rsidRPr="000B59C5">
              <w:rPr>
                <w:rFonts w:cs="Times New Roman"/>
                <w:sz w:val="24"/>
                <w:szCs w:val="24"/>
                <w:u w:val="single"/>
              </w:rPr>
              <w:t>and</w:t>
            </w:r>
          </w:p>
          <w:p w14:paraId="631EB558" w14:textId="51DB7FE2" w:rsidR="000D4A27" w:rsidRPr="00C86383" w:rsidRDefault="000D4A27" w:rsidP="00C86383">
            <w:pPr>
              <w:spacing w:line="360" w:lineRule="auto"/>
              <w:jc w:val="both"/>
              <w:rPr>
                <w:rFonts w:cs="Times New Roman"/>
                <w:sz w:val="24"/>
                <w:szCs w:val="24"/>
              </w:rPr>
            </w:pPr>
            <w:r w:rsidRPr="00C86383">
              <w:rPr>
                <w:rFonts w:cs="Times New Roman"/>
                <w:sz w:val="24"/>
                <w:szCs w:val="24"/>
              </w:rPr>
              <w:t>Delete 6A in its entirety and replace it with the version that appeared in the July 2018 version of the Children’s Amendment Bill</w:t>
            </w:r>
            <w:r w:rsidR="00AA54EF" w:rsidRPr="00C86383">
              <w:rPr>
                <w:rFonts w:cs="Times New Roman"/>
                <w:sz w:val="24"/>
                <w:szCs w:val="24"/>
              </w:rPr>
              <w:t xml:space="preserve"> (at clause 4, inserting a new</w:t>
            </w:r>
            <w:r w:rsidR="000B59C5">
              <w:rPr>
                <w:rFonts w:cs="Times New Roman"/>
                <w:sz w:val="24"/>
                <w:szCs w:val="24"/>
              </w:rPr>
              <w:t xml:space="preserve"> section in its place</w:t>
            </w:r>
            <w:r w:rsidR="00AA54EF" w:rsidRPr="00C86383">
              <w:rPr>
                <w:rFonts w:cs="Times New Roman"/>
                <w:sz w:val="24"/>
                <w:szCs w:val="24"/>
              </w:rPr>
              <w:t>)</w:t>
            </w:r>
            <w:r w:rsidRPr="00C86383">
              <w:rPr>
                <w:rFonts w:cs="Times New Roman"/>
                <w:sz w:val="24"/>
                <w:szCs w:val="24"/>
              </w:rPr>
              <w:t>, as follows:</w:t>
            </w:r>
          </w:p>
          <w:p w14:paraId="5EF6DFF0" w14:textId="77777777" w:rsidR="00AA54EF" w:rsidRPr="00C86383" w:rsidRDefault="00AA54EF" w:rsidP="00C86383">
            <w:pPr>
              <w:spacing w:line="360" w:lineRule="auto"/>
              <w:jc w:val="both"/>
              <w:rPr>
                <w:rFonts w:cs="Times New Roman"/>
                <w:sz w:val="24"/>
                <w:szCs w:val="24"/>
              </w:rPr>
            </w:pPr>
          </w:p>
          <w:p w14:paraId="77355DF4" w14:textId="79C0D677" w:rsidR="000D4A27" w:rsidRPr="00C86383" w:rsidRDefault="000D4A27" w:rsidP="00D96806">
            <w:pPr>
              <w:pStyle w:val="Level-Iblue"/>
              <w:tabs>
                <w:tab w:val="clear" w:pos="578"/>
              </w:tabs>
              <w:spacing w:line="360" w:lineRule="auto"/>
              <w:jc w:val="both"/>
              <w:rPr>
                <w:rFonts w:asciiTheme="minorHAnsi" w:hAnsiTheme="minorHAnsi"/>
                <w:b w:val="0"/>
                <w:color w:val="auto"/>
                <w:u w:val="single"/>
              </w:rPr>
            </w:pPr>
            <w:r w:rsidRPr="00C86383">
              <w:rPr>
                <w:rFonts w:asciiTheme="minorHAnsi" w:hAnsiTheme="minorHAnsi"/>
                <w:b w:val="0"/>
                <w:color w:val="auto"/>
                <w:u w:val="single"/>
              </w:rPr>
              <w:t xml:space="preserve">(1) No person may, without the permission of a court, in any manner publish any information, including any image, or picture which reveals or may reveal the name or identity of a child who is or was a party or a witness in the proceedings of any court or who is or was subject to an order of any court: Provided that a person may waive, in writing, the protection of his or her privacy as contemplated in this section upon reaching the age of 18 years.”. </w:t>
            </w:r>
          </w:p>
          <w:p w14:paraId="55624EAD" w14:textId="14E2CC90" w:rsidR="000D4A27" w:rsidRPr="00C86383" w:rsidRDefault="000D4A27" w:rsidP="00D96806">
            <w:pPr>
              <w:pStyle w:val="Level-Iblue"/>
              <w:tabs>
                <w:tab w:val="clear" w:pos="578"/>
              </w:tabs>
              <w:spacing w:line="360" w:lineRule="auto"/>
              <w:ind w:left="567" w:firstLine="426"/>
              <w:jc w:val="both"/>
              <w:rPr>
                <w:rFonts w:asciiTheme="minorHAnsi" w:hAnsiTheme="minorHAnsi"/>
                <w:b w:val="0"/>
                <w:color w:val="auto"/>
              </w:rPr>
            </w:pPr>
            <w:r w:rsidRPr="00C86383">
              <w:rPr>
                <w:rFonts w:asciiTheme="minorHAnsi" w:hAnsiTheme="minorHAnsi"/>
                <w:b w:val="0"/>
                <w:color w:val="auto"/>
                <w:u w:val="single"/>
              </w:rPr>
              <w:t>(2)</w:t>
            </w:r>
            <w:r w:rsidR="00323F3A" w:rsidRPr="00C86383">
              <w:rPr>
                <w:rFonts w:asciiTheme="minorHAnsi" w:hAnsiTheme="minorHAnsi"/>
                <w:b w:val="0"/>
                <w:color w:val="auto"/>
                <w:u w:val="single"/>
              </w:rPr>
              <w:t xml:space="preserve"> </w:t>
            </w:r>
            <w:r w:rsidRPr="00C86383">
              <w:rPr>
                <w:rFonts w:asciiTheme="minorHAnsi" w:hAnsiTheme="minorHAnsi"/>
                <w:b w:val="0"/>
                <w:color w:val="auto"/>
                <w:u w:val="single"/>
              </w:rPr>
              <w:t xml:space="preserve">Notwithstanding subsection (1) a designated </w:t>
            </w:r>
            <w:r w:rsidRPr="00C86383">
              <w:rPr>
                <w:rFonts w:asciiTheme="minorHAnsi" w:hAnsiTheme="minorHAnsi"/>
                <w:b w:val="0"/>
                <w:color w:val="auto"/>
                <w:u w:val="single"/>
              </w:rPr>
              <w:lastRenderedPageBreak/>
              <w:t xml:space="preserve">social worker </w:t>
            </w:r>
          </w:p>
          <w:p w14:paraId="2B84C688" w14:textId="7B03D7F0" w:rsidR="00AA54EF" w:rsidRPr="00D3132A" w:rsidRDefault="000D4A27" w:rsidP="00D3132A">
            <w:pPr>
              <w:spacing w:line="360" w:lineRule="auto"/>
              <w:ind w:left="567" w:firstLine="426"/>
              <w:jc w:val="both"/>
              <w:rPr>
                <w:rFonts w:cs="Times New Roman"/>
                <w:sz w:val="24"/>
                <w:szCs w:val="24"/>
                <w:u w:val="single"/>
              </w:rPr>
            </w:pPr>
            <w:r w:rsidRPr="00C86383">
              <w:rPr>
                <w:rFonts w:cs="Times New Roman"/>
                <w:sz w:val="24"/>
                <w:szCs w:val="24"/>
                <w:u w:val="single"/>
              </w:rPr>
              <w:t>conducting an investigation for the purposes of finding that a child may be in need of care and protection or that such child may be made available for adoption  publish information for identification of the child including images or pictures of the child in the prescribed manner, for the purpose of tracing the child’s parent(s) or family.”.</w:t>
            </w:r>
          </w:p>
        </w:tc>
        <w:tc>
          <w:tcPr>
            <w:tcW w:w="2931" w:type="dxa"/>
          </w:tcPr>
          <w:p w14:paraId="299FA6BE" w14:textId="77777777" w:rsidR="000D4A27" w:rsidRPr="00C86383" w:rsidRDefault="00AA54EF" w:rsidP="00C86383">
            <w:pPr>
              <w:spacing w:line="360" w:lineRule="auto"/>
              <w:jc w:val="both"/>
              <w:rPr>
                <w:rFonts w:cs="Times New Roman"/>
                <w:sz w:val="24"/>
                <w:szCs w:val="24"/>
              </w:rPr>
            </w:pPr>
            <w:r w:rsidRPr="00C86383">
              <w:rPr>
                <w:rFonts w:cs="Times New Roman"/>
                <w:sz w:val="24"/>
                <w:szCs w:val="24"/>
              </w:rPr>
              <w:lastRenderedPageBreak/>
              <w:t>NB! The current Bill has removed the protection of privacy for children in children’s court proceedings.</w:t>
            </w:r>
          </w:p>
          <w:p w14:paraId="192AB719" w14:textId="24370DED" w:rsidR="00AA54EF" w:rsidRPr="00C86383" w:rsidRDefault="00AA54EF" w:rsidP="00C86383">
            <w:pPr>
              <w:spacing w:line="360" w:lineRule="auto"/>
              <w:jc w:val="both"/>
              <w:rPr>
                <w:rFonts w:cs="Times New Roman"/>
                <w:sz w:val="24"/>
                <w:szCs w:val="24"/>
              </w:rPr>
            </w:pPr>
            <w:r w:rsidRPr="00C86383">
              <w:rPr>
                <w:rFonts w:cs="Times New Roman"/>
                <w:sz w:val="24"/>
                <w:szCs w:val="24"/>
              </w:rPr>
              <w:t xml:space="preserve">The July version of the Bill also removed section 74, </w:t>
            </w:r>
            <w:r w:rsidR="00D3132A">
              <w:rPr>
                <w:rFonts w:cs="Times New Roman"/>
                <w:sz w:val="24"/>
                <w:szCs w:val="24"/>
              </w:rPr>
              <w:t xml:space="preserve">but </w:t>
            </w:r>
            <w:r w:rsidRPr="00C86383">
              <w:rPr>
                <w:rFonts w:cs="Times New Roman"/>
                <w:sz w:val="24"/>
                <w:szCs w:val="24"/>
              </w:rPr>
              <w:t>section 6C in that Bill covered the protection of all children, appearing in all courts.</w:t>
            </w:r>
          </w:p>
          <w:p w14:paraId="7D1FA2B0" w14:textId="0C499C4C" w:rsidR="00AA54EF" w:rsidRPr="00C86383" w:rsidRDefault="00AA54EF" w:rsidP="00C86383">
            <w:pPr>
              <w:spacing w:line="360" w:lineRule="auto"/>
              <w:jc w:val="both"/>
              <w:rPr>
                <w:rFonts w:cs="Times New Roman"/>
                <w:sz w:val="24"/>
                <w:szCs w:val="24"/>
              </w:rPr>
            </w:pPr>
            <w:r w:rsidRPr="00C86383">
              <w:rPr>
                <w:rFonts w:cs="Times New Roman"/>
                <w:sz w:val="24"/>
                <w:szCs w:val="24"/>
              </w:rPr>
              <w:t>This current version of the Bill does not so, thus leaving children</w:t>
            </w:r>
            <w:r w:rsidR="00C86383">
              <w:rPr>
                <w:rFonts w:cs="Times New Roman"/>
                <w:sz w:val="24"/>
                <w:szCs w:val="24"/>
              </w:rPr>
              <w:t xml:space="preserve"> in children’s courts</w:t>
            </w:r>
            <w:r w:rsidRPr="00C86383">
              <w:rPr>
                <w:rFonts w:cs="Times New Roman"/>
                <w:sz w:val="24"/>
                <w:szCs w:val="24"/>
              </w:rPr>
              <w:t xml:space="preserve"> unprotected. </w:t>
            </w:r>
          </w:p>
          <w:p w14:paraId="122CEAD4" w14:textId="368F96BC" w:rsidR="00AA54EF" w:rsidRPr="00C86383" w:rsidRDefault="00AA54EF" w:rsidP="00C86383">
            <w:pPr>
              <w:spacing w:line="360" w:lineRule="auto"/>
              <w:jc w:val="both"/>
              <w:rPr>
                <w:rFonts w:cs="Times New Roman"/>
                <w:sz w:val="24"/>
                <w:szCs w:val="24"/>
              </w:rPr>
            </w:pPr>
            <w:r w:rsidRPr="00C86383">
              <w:rPr>
                <w:rFonts w:cs="Times New Roman"/>
                <w:sz w:val="24"/>
                <w:szCs w:val="24"/>
              </w:rPr>
              <w:t>The simplest way to solve this is to</w:t>
            </w:r>
            <w:r w:rsidR="00D3132A">
              <w:rPr>
                <w:rFonts w:cs="Times New Roman"/>
                <w:sz w:val="24"/>
                <w:szCs w:val="24"/>
              </w:rPr>
              <w:t xml:space="preserve"> delete 6A</w:t>
            </w:r>
          </w:p>
          <w:p w14:paraId="2E79026B" w14:textId="77777777" w:rsidR="00AA54EF" w:rsidRPr="00C86383" w:rsidRDefault="00AA54EF" w:rsidP="00C86383">
            <w:pPr>
              <w:spacing w:line="360" w:lineRule="auto"/>
              <w:jc w:val="both"/>
              <w:rPr>
                <w:rFonts w:cs="Times New Roman"/>
                <w:sz w:val="24"/>
                <w:szCs w:val="24"/>
                <w:u w:val="single"/>
              </w:rPr>
            </w:pPr>
            <w:r w:rsidRPr="00C86383">
              <w:rPr>
                <w:rFonts w:cs="Times New Roman"/>
                <w:sz w:val="24"/>
                <w:szCs w:val="24"/>
                <w:u w:val="single"/>
              </w:rPr>
              <w:t>AND</w:t>
            </w:r>
          </w:p>
          <w:p w14:paraId="7506BCCF" w14:textId="09D633D3" w:rsidR="00AA54EF" w:rsidRPr="00C86383" w:rsidRDefault="00D3132A" w:rsidP="00C86383">
            <w:pPr>
              <w:spacing w:line="360" w:lineRule="auto"/>
              <w:jc w:val="both"/>
              <w:rPr>
                <w:rFonts w:cs="Times New Roman"/>
                <w:sz w:val="24"/>
                <w:szCs w:val="24"/>
              </w:rPr>
            </w:pPr>
            <w:r>
              <w:rPr>
                <w:rFonts w:cs="Times New Roman"/>
                <w:sz w:val="24"/>
                <w:szCs w:val="24"/>
              </w:rPr>
              <w:t>Not delete s74</w:t>
            </w:r>
          </w:p>
          <w:p w14:paraId="798EEC15" w14:textId="77777777" w:rsidR="00D3132A" w:rsidRDefault="00D3132A" w:rsidP="00C86383">
            <w:pPr>
              <w:spacing w:line="360" w:lineRule="auto"/>
              <w:jc w:val="both"/>
              <w:rPr>
                <w:rFonts w:cs="Times New Roman"/>
                <w:sz w:val="24"/>
                <w:szCs w:val="24"/>
              </w:rPr>
            </w:pPr>
          </w:p>
          <w:p w14:paraId="08EE1555" w14:textId="5A3C2E21" w:rsidR="00AA54EF" w:rsidRPr="00C86383" w:rsidRDefault="00AA54EF" w:rsidP="00C86383">
            <w:pPr>
              <w:spacing w:line="360" w:lineRule="auto"/>
              <w:jc w:val="both"/>
              <w:rPr>
                <w:rFonts w:cs="Times New Roman"/>
                <w:sz w:val="24"/>
                <w:szCs w:val="24"/>
              </w:rPr>
            </w:pPr>
            <w:r w:rsidRPr="00C86383">
              <w:rPr>
                <w:rFonts w:cs="Times New Roman"/>
                <w:sz w:val="24"/>
                <w:szCs w:val="24"/>
              </w:rPr>
              <w:t>Alternatively, if DSD wants to try to protect the rights of all children appearing in all courts, then the wording of the July version of the Bill, clause 6C must be used.</w:t>
            </w:r>
          </w:p>
        </w:tc>
      </w:tr>
    </w:tbl>
    <w:p w14:paraId="2AF21E0E" w14:textId="77777777" w:rsidR="000D4A27" w:rsidRPr="00C86383" w:rsidRDefault="000D4A27" w:rsidP="00C86383">
      <w:pPr>
        <w:spacing w:line="360" w:lineRule="auto"/>
        <w:jc w:val="both"/>
        <w:rPr>
          <w:rFonts w:cs="Arial"/>
          <w:sz w:val="24"/>
          <w:szCs w:val="24"/>
        </w:rPr>
      </w:pPr>
    </w:p>
    <w:p w14:paraId="343D0D4B" w14:textId="25A16C1E" w:rsidR="00323F3A" w:rsidRPr="00C86383" w:rsidRDefault="00323F3A" w:rsidP="00C86383">
      <w:pPr>
        <w:pStyle w:val="Heading2"/>
        <w:spacing w:line="360" w:lineRule="auto"/>
        <w:jc w:val="both"/>
        <w:rPr>
          <w:rFonts w:asciiTheme="minorHAnsi" w:hAnsiTheme="minorHAnsi"/>
          <w:sz w:val="24"/>
          <w:szCs w:val="24"/>
        </w:rPr>
      </w:pPr>
      <w:r w:rsidRPr="00C86383">
        <w:rPr>
          <w:rFonts w:asciiTheme="minorHAnsi" w:hAnsiTheme="minorHAnsi"/>
          <w:sz w:val="24"/>
          <w:szCs w:val="24"/>
        </w:rPr>
        <w:t>Supporting arguments</w:t>
      </w:r>
    </w:p>
    <w:p w14:paraId="7EC9E449" w14:textId="0C200611" w:rsidR="00323F3A" w:rsidRPr="00C86383" w:rsidRDefault="00323F3A" w:rsidP="00C86383">
      <w:pPr>
        <w:spacing w:line="360" w:lineRule="auto"/>
        <w:jc w:val="both"/>
        <w:rPr>
          <w:sz w:val="24"/>
          <w:szCs w:val="24"/>
        </w:rPr>
      </w:pPr>
      <w:r w:rsidRPr="00C86383">
        <w:rPr>
          <w:sz w:val="24"/>
          <w:szCs w:val="24"/>
        </w:rPr>
        <w:t xml:space="preserve">Section 74 of the Act protects children who are involved in children’s court proceedings, and it is essential that the protection be retained.  However, the initial versions of the Children’s Amendment Bill aimed to increase this protection by making it apply to all courts, High Court, equality court etc – eg  if a child is involved in a Hague Convention abduction, then there is currently no protection of the privacy of such children. </w:t>
      </w:r>
    </w:p>
    <w:p w14:paraId="276C5422" w14:textId="4442A397" w:rsidR="00323F3A" w:rsidRPr="00C86383" w:rsidRDefault="00323F3A" w:rsidP="00C86383">
      <w:pPr>
        <w:spacing w:line="360" w:lineRule="auto"/>
        <w:jc w:val="both"/>
        <w:rPr>
          <w:sz w:val="24"/>
          <w:szCs w:val="24"/>
        </w:rPr>
      </w:pPr>
      <w:r w:rsidRPr="00C86383">
        <w:rPr>
          <w:sz w:val="24"/>
          <w:szCs w:val="24"/>
        </w:rPr>
        <w:t>In the July and August versions of the Bill, certain additional clauses suddenly appeared, which had never been consulted on before – inserting new sections 6A (Children’s Privacy) and 6B (Children and the media). In previous submissions, the Centre for Child Law argued against these insertions on several bases: (i) they were too broad; (ii) they provided a lower protection than other existing laws such as the Criminal Procedure Act and the Maintenance Act; and (iii) they went into to the terrain of the Films and Publications Act which is itself currently being amended. Our recommendations were that the inserted sections 6A and 6B should be deleted, and the inserted section 6C should be retained.</w:t>
      </w:r>
    </w:p>
    <w:p w14:paraId="4B8ABD4F" w14:textId="0C4DCC8A" w:rsidR="00323F3A" w:rsidRPr="00C86383" w:rsidRDefault="00323F3A" w:rsidP="00C86383">
      <w:pPr>
        <w:spacing w:line="360" w:lineRule="auto"/>
        <w:jc w:val="both"/>
        <w:rPr>
          <w:sz w:val="24"/>
          <w:szCs w:val="24"/>
        </w:rPr>
      </w:pPr>
      <w:r w:rsidRPr="00C86383">
        <w:rPr>
          <w:sz w:val="24"/>
          <w:szCs w:val="24"/>
        </w:rPr>
        <w:t>We are pleased to see that the inserted section 6A and 6B have been deleted.</w:t>
      </w:r>
    </w:p>
    <w:p w14:paraId="1FAC80C2" w14:textId="42200DFB" w:rsidR="00C436DA" w:rsidRPr="00C86383" w:rsidRDefault="00C436DA" w:rsidP="00C86383">
      <w:pPr>
        <w:spacing w:line="360" w:lineRule="auto"/>
        <w:jc w:val="both"/>
        <w:rPr>
          <w:sz w:val="24"/>
          <w:szCs w:val="24"/>
        </w:rPr>
      </w:pPr>
      <w:r w:rsidRPr="00C86383">
        <w:rPr>
          <w:sz w:val="24"/>
          <w:szCs w:val="24"/>
        </w:rPr>
        <w:lastRenderedPageBreak/>
        <w:t>However, we note that a new 6A has been inserted which simply says that children’s privacy must be protected by a plethora of other laws. This is trite. Obviously</w:t>
      </w:r>
      <w:r w:rsidR="00C86383">
        <w:rPr>
          <w:sz w:val="24"/>
          <w:szCs w:val="24"/>
        </w:rPr>
        <w:t>,</w:t>
      </w:r>
      <w:r w:rsidRPr="00C86383">
        <w:rPr>
          <w:sz w:val="24"/>
          <w:szCs w:val="24"/>
        </w:rPr>
        <w:t xml:space="preserve"> all those laws need to be respected, the Children’s Act does not need to say this.  Furthermore, this list is incomplete, as it has omitted the Divorce Act and the Maintenance Act, which also provides important provisions on the protection of children’s identity in court proceedings. </w:t>
      </w:r>
      <w:bookmarkStart w:id="2" w:name="_Hlk530514717"/>
      <w:r w:rsidRPr="00C86383">
        <w:rPr>
          <w:sz w:val="24"/>
          <w:szCs w:val="24"/>
        </w:rPr>
        <w:t>We strongly urge</w:t>
      </w:r>
      <w:r w:rsidR="00D3132A">
        <w:rPr>
          <w:sz w:val="24"/>
          <w:szCs w:val="24"/>
        </w:rPr>
        <w:t xml:space="preserve"> that the current s 6A </w:t>
      </w:r>
      <w:bookmarkStart w:id="3" w:name="_GoBack"/>
      <w:bookmarkEnd w:id="3"/>
      <w:r w:rsidR="000B59C5">
        <w:rPr>
          <w:sz w:val="24"/>
          <w:szCs w:val="24"/>
        </w:rPr>
        <w:t>be deleted</w:t>
      </w:r>
      <w:r w:rsidRPr="00C86383">
        <w:rPr>
          <w:sz w:val="24"/>
          <w:szCs w:val="24"/>
        </w:rPr>
        <w:t xml:space="preserve">. </w:t>
      </w:r>
      <w:bookmarkEnd w:id="2"/>
    </w:p>
    <w:sectPr w:rsidR="00C436DA" w:rsidRPr="00C863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24451" w14:textId="77777777" w:rsidR="0040066D" w:rsidRDefault="0040066D" w:rsidP="00A27870">
      <w:pPr>
        <w:spacing w:after="0" w:line="240" w:lineRule="auto"/>
      </w:pPr>
      <w:r>
        <w:separator/>
      </w:r>
    </w:p>
  </w:endnote>
  <w:endnote w:type="continuationSeparator" w:id="0">
    <w:p w14:paraId="1D6A40C8" w14:textId="77777777" w:rsidR="0040066D" w:rsidRDefault="0040066D" w:rsidP="00A2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90913"/>
      <w:docPartObj>
        <w:docPartGallery w:val="Page Numbers (Bottom of Page)"/>
        <w:docPartUnique/>
      </w:docPartObj>
    </w:sdtPr>
    <w:sdtEndPr>
      <w:rPr>
        <w:noProof/>
      </w:rPr>
    </w:sdtEndPr>
    <w:sdtContent>
      <w:p w14:paraId="7B3E0E7A" w14:textId="77777777" w:rsidR="00B4517A" w:rsidRDefault="00B4517A">
        <w:pPr>
          <w:pStyle w:val="Footer"/>
          <w:jc w:val="right"/>
        </w:pPr>
        <w:r>
          <w:fldChar w:fldCharType="begin"/>
        </w:r>
        <w:r>
          <w:instrText xml:space="preserve"> PAGE   \* MERGEFORMAT </w:instrText>
        </w:r>
        <w:r>
          <w:fldChar w:fldCharType="separate"/>
        </w:r>
        <w:r w:rsidR="00D3132A">
          <w:rPr>
            <w:noProof/>
          </w:rPr>
          <w:t>1</w:t>
        </w:r>
        <w:r>
          <w:rPr>
            <w:noProof/>
          </w:rPr>
          <w:fldChar w:fldCharType="end"/>
        </w:r>
      </w:p>
    </w:sdtContent>
  </w:sdt>
  <w:p w14:paraId="16BE4580" w14:textId="77777777" w:rsidR="00A27870" w:rsidRDefault="00A2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93A80" w14:textId="77777777" w:rsidR="0040066D" w:rsidRDefault="0040066D" w:rsidP="00A27870">
      <w:pPr>
        <w:spacing w:after="0" w:line="240" w:lineRule="auto"/>
      </w:pPr>
      <w:r>
        <w:separator/>
      </w:r>
    </w:p>
  </w:footnote>
  <w:footnote w:type="continuationSeparator" w:id="0">
    <w:p w14:paraId="4BEB7091" w14:textId="77777777" w:rsidR="0040066D" w:rsidRDefault="0040066D" w:rsidP="00A27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610F" w14:textId="77777777" w:rsidR="00B60E25" w:rsidRDefault="00B60E25">
    <w:pPr>
      <w:pStyle w:val="Header"/>
    </w:pPr>
  </w:p>
  <w:p w14:paraId="0B7B3C97" w14:textId="77777777" w:rsidR="00B60E25" w:rsidRDefault="00B60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C03"/>
    <w:multiLevelType w:val="hybridMultilevel"/>
    <w:tmpl w:val="A3160F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0A66B5F"/>
    <w:multiLevelType w:val="hybridMultilevel"/>
    <w:tmpl w:val="BBFE75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53A7628"/>
    <w:multiLevelType w:val="hybridMultilevel"/>
    <w:tmpl w:val="7A78F2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478243F"/>
    <w:multiLevelType w:val="hybridMultilevel"/>
    <w:tmpl w:val="6E949A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787750F"/>
    <w:multiLevelType w:val="hybridMultilevel"/>
    <w:tmpl w:val="0D420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B901B9"/>
    <w:multiLevelType w:val="hybridMultilevel"/>
    <w:tmpl w:val="2F16AD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8BC70D6"/>
    <w:multiLevelType w:val="hybridMultilevel"/>
    <w:tmpl w:val="27A41B3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5AD97FB9"/>
    <w:multiLevelType w:val="hybridMultilevel"/>
    <w:tmpl w:val="5DA4C71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CAF7182"/>
    <w:multiLevelType w:val="hybridMultilevel"/>
    <w:tmpl w:val="5ABC6A66"/>
    <w:lvl w:ilvl="0" w:tplc="92680C0A">
      <w:start w:val="4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1B"/>
    <w:rsid w:val="000539E9"/>
    <w:rsid w:val="00075293"/>
    <w:rsid w:val="000A7F34"/>
    <w:rsid w:val="000B59C5"/>
    <w:rsid w:val="000D2574"/>
    <w:rsid w:val="000D4A27"/>
    <w:rsid w:val="000D7E2F"/>
    <w:rsid w:val="000F449E"/>
    <w:rsid w:val="000F6761"/>
    <w:rsid w:val="00112F44"/>
    <w:rsid w:val="00155B26"/>
    <w:rsid w:val="00155E42"/>
    <w:rsid w:val="001821EC"/>
    <w:rsid w:val="001B3DBD"/>
    <w:rsid w:val="001E0371"/>
    <w:rsid w:val="001E3155"/>
    <w:rsid w:val="00246698"/>
    <w:rsid w:val="00277CF0"/>
    <w:rsid w:val="002B68F5"/>
    <w:rsid w:val="002C1448"/>
    <w:rsid w:val="002C4F47"/>
    <w:rsid w:val="002C7C75"/>
    <w:rsid w:val="002D605E"/>
    <w:rsid w:val="00323F3A"/>
    <w:rsid w:val="003867F9"/>
    <w:rsid w:val="003A1D3F"/>
    <w:rsid w:val="0040066D"/>
    <w:rsid w:val="00425390"/>
    <w:rsid w:val="00436BF5"/>
    <w:rsid w:val="005044CE"/>
    <w:rsid w:val="00545FFC"/>
    <w:rsid w:val="00593D27"/>
    <w:rsid w:val="005D1752"/>
    <w:rsid w:val="00642B63"/>
    <w:rsid w:val="0064681D"/>
    <w:rsid w:val="00670AB6"/>
    <w:rsid w:val="00686622"/>
    <w:rsid w:val="006B109D"/>
    <w:rsid w:val="006E48D6"/>
    <w:rsid w:val="00706C72"/>
    <w:rsid w:val="00707FBD"/>
    <w:rsid w:val="00781B07"/>
    <w:rsid w:val="00796643"/>
    <w:rsid w:val="00803599"/>
    <w:rsid w:val="00803A03"/>
    <w:rsid w:val="008301AC"/>
    <w:rsid w:val="00855B2C"/>
    <w:rsid w:val="00884B1B"/>
    <w:rsid w:val="00887660"/>
    <w:rsid w:val="008C68C9"/>
    <w:rsid w:val="00923699"/>
    <w:rsid w:val="00923C67"/>
    <w:rsid w:val="009A5016"/>
    <w:rsid w:val="00A27870"/>
    <w:rsid w:val="00A50BFC"/>
    <w:rsid w:val="00A65A22"/>
    <w:rsid w:val="00A85A22"/>
    <w:rsid w:val="00A917CF"/>
    <w:rsid w:val="00AA54EF"/>
    <w:rsid w:val="00AD4DFB"/>
    <w:rsid w:val="00AE774D"/>
    <w:rsid w:val="00B00E22"/>
    <w:rsid w:val="00B26D41"/>
    <w:rsid w:val="00B44385"/>
    <w:rsid w:val="00B44AE6"/>
    <w:rsid w:val="00B4517A"/>
    <w:rsid w:val="00B60E25"/>
    <w:rsid w:val="00BC2CF4"/>
    <w:rsid w:val="00BD475C"/>
    <w:rsid w:val="00C436DA"/>
    <w:rsid w:val="00C62317"/>
    <w:rsid w:val="00C6740D"/>
    <w:rsid w:val="00C80908"/>
    <w:rsid w:val="00C86383"/>
    <w:rsid w:val="00CD5DDD"/>
    <w:rsid w:val="00CE7932"/>
    <w:rsid w:val="00D14033"/>
    <w:rsid w:val="00D161B8"/>
    <w:rsid w:val="00D3132A"/>
    <w:rsid w:val="00D551C5"/>
    <w:rsid w:val="00D96806"/>
    <w:rsid w:val="00DB47FC"/>
    <w:rsid w:val="00DE1D6A"/>
    <w:rsid w:val="00DE6551"/>
    <w:rsid w:val="00DE6BF7"/>
    <w:rsid w:val="00DF260C"/>
    <w:rsid w:val="00E21CED"/>
    <w:rsid w:val="00E71F4D"/>
    <w:rsid w:val="00EC4985"/>
    <w:rsid w:val="00EE54E1"/>
    <w:rsid w:val="00F20D7D"/>
    <w:rsid w:val="00F224AC"/>
    <w:rsid w:val="00F30160"/>
    <w:rsid w:val="00F83E3A"/>
    <w:rsid w:val="00FC19DA"/>
    <w:rsid w:val="00FD2568"/>
    <w:rsid w:val="00FD282B"/>
    <w:rsid w:val="00FD5620"/>
    <w:rsid w:val="00FE1835"/>
    <w:rsid w:val="00FF12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E804"/>
  <w15:docId w15:val="{6C7EC264-E3C6-4858-A930-C89B10D0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449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A27870"/>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293"/>
    <w:pPr>
      <w:ind w:left="720"/>
      <w:contextualSpacing/>
    </w:pPr>
  </w:style>
  <w:style w:type="table" w:styleId="TableGrid">
    <w:name w:val="Table Grid"/>
    <w:basedOn w:val="TableNormal"/>
    <w:uiPriority w:val="59"/>
    <w:rsid w:val="00DE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27870"/>
    <w:rPr>
      <w:rFonts w:asciiTheme="majorHAnsi" w:eastAsiaTheme="majorEastAsia" w:hAnsiTheme="majorHAnsi" w:cstheme="majorBidi"/>
      <w:color w:val="2E74B5" w:themeColor="accent1" w:themeShade="BF"/>
      <w:sz w:val="28"/>
      <w:szCs w:val="28"/>
    </w:rPr>
  </w:style>
  <w:style w:type="paragraph" w:styleId="FootnoteText">
    <w:name w:val="footnote text"/>
    <w:basedOn w:val="Normal"/>
    <w:link w:val="FootnoteTextChar"/>
    <w:uiPriority w:val="99"/>
    <w:semiHidden/>
    <w:unhideWhenUsed/>
    <w:rsid w:val="00A2787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27870"/>
    <w:rPr>
      <w:rFonts w:eastAsiaTheme="minorEastAsia"/>
      <w:sz w:val="20"/>
      <w:szCs w:val="20"/>
    </w:rPr>
  </w:style>
  <w:style w:type="character" w:styleId="FootnoteReference">
    <w:name w:val="footnote reference"/>
    <w:basedOn w:val="DefaultParagraphFont"/>
    <w:uiPriority w:val="99"/>
    <w:semiHidden/>
    <w:unhideWhenUsed/>
    <w:rsid w:val="00A27870"/>
    <w:rPr>
      <w:vertAlign w:val="superscript"/>
    </w:rPr>
  </w:style>
  <w:style w:type="paragraph" w:styleId="Caption">
    <w:name w:val="caption"/>
    <w:basedOn w:val="Normal"/>
    <w:next w:val="Normal"/>
    <w:uiPriority w:val="35"/>
    <w:unhideWhenUsed/>
    <w:qFormat/>
    <w:rsid w:val="00A27870"/>
    <w:pPr>
      <w:spacing w:after="120" w:line="240" w:lineRule="auto"/>
    </w:pPr>
    <w:rPr>
      <w:rFonts w:eastAsiaTheme="minorEastAsia"/>
      <w:b/>
      <w:bCs/>
      <w:color w:val="404040" w:themeColor="text1" w:themeTint="BF"/>
      <w:sz w:val="20"/>
      <w:szCs w:val="20"/>
    </w:rPr>
  </w:style>
  <w:style w:type="paragraph" w:styleId="Header">
    <w:name w:val="header"/>
    <w:basedOn w:val="Normal"/>
    <w:link w:val="HeaderChar"/>
    <w:uiPriority w:val="99"/>
    <w:unhideWhenUsed/>
    <w:rsid w:val="00A27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870"/>
  </w:style>
  <w:style w:type="paragraph" w:styleId="Footer">
    <w:name w:val="footer"/>
    <w:basedOn w:val="Normal"/>
    <w:link w:val="FooterChar"/>
    <w:uiPriority w:val="99"/>
    <w:unhideWhenUsed/>
    <w:rsid w:val="00A2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870"/>
  </w:style>
  <w:style w:type="character" w:customStyle="1" w:styleId="Heading1Char">
    <w:name w:val="Heading 1 Char"/>
    <w:basedOn w:val="DefaultParagraphFont"/>
    <w:link w:val="Heading1"/>
    <w:uiPriority w:val="9"/>
    <w:rsid w:val="000F449E"/>
    <w:rPr>
      <w:rFonts w:asciiTheme="majorHAnsi" w:eastAsiaTheme="majorEastAsia" w:hAnsiTheme="majorHAnsi" w:cstheme="majorBidi"/>
      <w:color w:val="2E74B5" w:themeColor="accent1" w:themeShade="BF"/>
      <w:sz w:val="36"/>
      <w:szCs w:val="36"/>
    </w:rPr>
  </w:style>
  <w:style w:type="character" w:styleId="CommentReference">
    <w:name w:val="annotation reference"/>
    <w:basedOn w:val="DefaultParagraphFont"/>
    <w:uiPriority w:val="99"/>
    <w:semiHidden/>
    <w:unhideWhenUsed/>
    <w:rsid w:val="00545FFC"/>
    <w:rPr>
      <w:sz w:val="16"/>
      <w:szCs w:val="16"/>
    </w:rPr>
  </w:style>
  <w:style w:type="paragraph" w:styleId="CommentText">
    <w:name w:val="annotation text"/>
    <w:basedOn w:val="Normal"/>
    <w:link w:val="CommentTextChar"/>
    <w:uiPriority w:val="99"/>
    <w:semiHidden/>
    <w:unhideWhenUsed/>
    <w:rsid w:val="00545FFC"/>
    <w:pPr>
      <w:spacing w:line="240" w:lineRule="auto"/>
    </w:pPr>
    <w:rPr>
      <w:sz w:val="20"/>
      <w:szCs w:val="20"/>
    </w:rPr>
  </w:style>
  <w:style w:type="character" w:customStyle="1" w:styleId="CommentTextChar">
    <w:name w:val="Comment Text Char"/>
    <w:basedOn w:val="DefaultParagraphFont"/>
    <w:link w:val="CommentText"/>
    <w:uiPriority w:val="99"/>
    <w:semiHidden/>
    <w:rsid w:val="00545FFC"/>
    <w:rPr>
      <w:sz w:val="20"/>
      <w:szCs w:val="20"/>
    </w:rPr>
  </w:style>
  <w:style w:type="paragraph" w:styleId="CommentSubject">
    <w:name w:val="annotation subject"/>
    <w:basedOn w:val="CommentText"/>
    <w:next w:val="CommentText"/>
    <w:link w:val="CommentSubjectChar"/>
    <w:uiPriority w:val="99"/>
    <w:semiHidden/>
    <w:unhideWhenUsed/>
    <w:rsid w:val="00545FFC"/>
    <w:rPr>
      <w:b/>
      <w:bCs/>
    </w:rPr>
  </w:style>
  <w:style w:type="character" w:customStyle="1" w:styleId="CommentSubjectChar">
    <w:name w:val="Comment Subject Char"/>
    <w:basedOn w:val="CommentTextChar"/>
    <w:link w:val="CommentSubject"/>
    <w:uiPriority w:val="99"/>
    <w:semiHidden/>
    <w:rsid w:val="00545FFC"/>
    <w:rPr>
      <w:b/>
      <w:bCs/>
      <w:sz w:val="20"/>
      <w:szCs w:val="20"/>
    </w:rPr>
  </w:style>
  <w:style w:type="paragraph" w:styleId="BalloonText">
    <w:name w:val="Balloon Text"/>
    <w:basedOn w:val="Normal"/>
    <w:link w:val="BalloonTextChar"/>
    <w:uiPriority w:val="99"/>
    <w:semiHidden/>
    <w:unhideWhenUsed/>
    <w:rsid w:val="0054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FFC"/>
    <w:rPr>
      <w:rFonts w:ascii="Segoe UI" w:hAnsi="Segoe UI" w:cs="Segoe UI"/>
      <w:sz w:val="18"/>
      <w:szCs w:val="18"/>
    </w:rPr>
  </w:style>
  <w:style w:type="paragraph" w:customStyle="1" w:styleId="Level-Iblue">
    <w:name w:val="Level-I blue"/>
    <w:rsid w:val="000D4A27"/>
    <w:pPr>
      <w:widowControl w:val="0"/>
      <w:tabs>
        <w:tab w:val="left" w:pos="578"/>
      </w:tabs>
      <w:autoSpaceDE w:val="0"/>
      <w:autoSpaceDN w:val="0"/>
      <w:adjustRightInd w:val="0"/>
      <w:spacing w:after="0" w:line="240" w:lineRule="auto"/>
      <w:ind w:left="578" w:hanging="578"/>
    </w:pPr>
    <w:rPr>
      <w:rFonts w:ascii="Times New Roman" w:eastAsia="Times New Roman" w:hAnsi="Times New Roman" w:cs="Times New Roman"/>
      <w:b/>
      <w:bCs/>
      <w:color w:val="00808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Rohrs</dc:creator>
  <cp:lastModifiedBy>user</cp:lastModifiedBy>
  <cp:revision>2</cp:revision>
  <dcterms:created xsi:type="dcterms:W3CDTF">2018-11-26T10:38:00Z</dcterms:created>
  <dcterms:modified xsi:type="dcterms:W3CDTF">2018-11-26T10:38:00Z</dcterms:modified>
</cp:coreProperties>
</file>